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36A" w:rsidRPr="0014236A" w:rsidRDefault="0014236A" w:rsidP="0014236A">
      <w:pPr>
        <w:spacing w:after="0" w:line="240" w:lineRule="auto"/>
        <w:rPr>
          <w:rFonts w:ascii="Arial" w:hAnsi="Arial"/>
          <w:b/>
          <w:bCs/>
          <w:sz w:val="26"/>
          <w:szCs w:val="26"/>
        </w:rPr>
      </w:pPr>
    </w:p>
    <w:p w:rsidR="0014236A" w:rsidRPr="0014236A" w:rsidRDefault="0014236A" w:rsidP="0014236A">
      <w:pPr>
        <w:spacing w:after="0" w:line="240" w:lineRule="auto"/>
        <w:jc w:val="center"/>
        <w:rPr>
          <w:rFonts w:ascii="Arial" w:eastAsia="Times New Roman" w:hAnsi="Arial"/>
          <w:b/>
          <w:color w:val="000000" w:themeColor="text1"/>
          <w:sz w:val="26"/>
          <w:szCs w:val="18"/>
        </w:rPr>
      </w:pPr>
      <w:r w:rsidRPr="0014236A">
        <w:rPr>
          <w:rFonts w:ascii="Arial" w:eastAsia="Times New Roman" w:hAnsi="Arial"/>
          <w:b/>
          <w:color w:val="000000" w:themeColor="text1"/>
          <w:sz w:val="26"/>
          <w:szCs w:val="18"/>
        </w:rPr>
        <w:t>Mental Health and Substance Use Integration Work Group</w:t>
      </w:r>
    </w:p>
    <w:p w:rsidR="0014236A" w:rsidRPr="0014236A" w:rsidRDefault="0014236A" w:rsidP="0014236A">
      <w:pPr>
        <w:spacing w:after="0" w:line="240" w:lineRule="auto"/>
        <w:jc w:val="center"/>
        <w:rPr>
          <w:rFonts w:ascii="Arial" w:eastAsia="Times New Roman" w:hAnsi="Arial"/>
          <w:b/>
          <w:color w:val="000000" w:themeColor="text1"/>
          <w:sz w:val="26"/>
          <w:szCs w:val="18"/>
        </w:rPr>
      </w:pPr>
      <w:r w:rsidRPr="0014236A">
        <w:rPr>
          <w:rFonts w:ascii="Arial" w:eastAsia="Times New Roman" w:hAnsi="Arial"/>
          <w:b/>
          <w:color w:val="000000" w:themeColor="text1"/>
          <w:sz w:val="26"/>
          <w:szCs w:val="18"/>
        </w:rPr>
        <w:t>Dual Eligibles Demonstration</w:t>
      </w:r>
    </w:p>
    <w:p w:rsidR="0014236A" w:rsidRPr="0014236A" w:rsidRDefault="0014236A" w:rsidP="0014236A">
      <w:pPr>
        <w:spacing w:after="0" w:line="240" w:lineRule="auto"/>
        <w:jc w:val="center"/>
        <w:rPr>
          <w:rFonts w:ascii="Arial" w:eastAsia="Times New Roman" w:hAnsi="Arial"/>
          <w:color w:val="000000" w:themeColor="text1"/>
          <w:sz w:val="26"/>
          <w:szCs w:val="18"/>
        </w:rPr>
      </w:pPr>
    </w:p>
    <w:p w:rsidR="0014236A" w:rsidRPr="0014236A" w:rsidRDefault="0014236A" w:rsidP="0014236A">
      <w:pPr>
        <w:spacing w:after="0" w:line="240" w:lineRule="auto"/>
        <w:jc w:val="center"/>
        <w:rPr>
          <w:rFonts w:ascii="Arial" w:eastAsia="Times New Roman" w:hAnsi="Arial"/>
          <w:b/>
          <w:color w:val="000000" w:themeColor="text1"/>
          <w:sz w:val="26"/>
          <w:szCs w:val="18"/>
        </w:rPr>
      </w:pPr>
      <w:r w:rsidRPr="0014236A">
        <w:rPr>
          <w:rFonts w:ascii="Arial" w:eastAsia="Times New Roman" w:hAnsi="Arial"/>
          <w:b/>
          <w:color w:val="000000" w:themeColor="text1"/>
          <w:sz w:val="26"/>
          <w:szCs w:val="18"/>
        </w:rPr>
        <w:t>Meeting 3 Agenda</w:t>
      </w:r>
    </w:p>
    <w:p w:rsidR="0014236A" w:rsidRPr="0014236A" w:rsidRDefault="0014236A" w:rsidP="0014236A">
      <w:pPr>
        <w:spacing w:after="0" w:line="240" w:lineRule="auto"/>
        <w:jc w:val="center"/>
        <w:rPr>
          <w:rFonts w:ascii="Arial" w:eastAsia="Times New Roman" w:hAnsi="Arial"/>
          <w:color w:val="000000" w:themeColor="text1"/>
          <w:sz w:val="26"/>
          <w:szCs w:val="18"/>
        </w:rPr>
      </w:pPr>
    </w:p>
    <w:p w:rsidR="0014236A" w:rsidRPr="0014236A" w:rsidRDefault="0014236A" w:rsidP="0014236A">
      <w:pPr>
        <w:widowControl w:val="0"/>
        <w:autoSpaceDE w:val="0"/>
        <w:autoSpaceDN w:val="0"/>
        <w:adjustRightInd w:val="0"/>
        <w:spacing w:after="0" w:line="240" w:lineRule="auto"/>
        <w:jc w:val="center"/>
        <w:rPr>
          <w:rFonts w:ascii="Arial" w:eastAsia="Times New Roman" w:hAnsi="Arial" w:cs="Arial"/>
          <w:color w:val="000000" w:themeColor="text1"/>
          <w:sz w:val="26"/>
          <w:szCs w:val="18"/>
        </w:rPr>
      </w:pPr>
      <w:r w:rsidRPr="0014236A">
        <w:rPr>
          <w:rFonts w:ascii="Arial" w:eastAsia="Times New Roman" w:hAnsi="Arial" w:cs="Arial"/>
          <w:color w:val="000000" w:themeColor="text1"/>
          <w:sz w:val="26"/>
          <w:szCs w:val="18"/>
        </w:rPr>
        <w:t xml:space="preserve">2 – 4:15 pm | Wednesday, June 20, 2012 </w:t>
      </w:r>
    </w:p>
    <w:p w:rsidR="0014236A" w:rsidRPr="0014236A" w:rsidRDefault="00BA1322" w:rsidP="0014236A">
      <w:pPr>
        <w:widowControl w:val="0"/>
        <w:autoSpaceDE w:val="0"/>
        <w:autoSpaceDN w:val="0"/>
        <w:adjustRightInd w:val="0"/>
        <w:spacing w:after="0" w:line="240" w:lineRule="auto"/>
        <w:jc w:val="center"/>
        <w:rPr>
          <w:rFonts w:ascii="Arial" w:eastAsia="Times New Roman" w:hAnsi="Arial"/>
          <w:color w:val="000000" w:themeColor="text1"/>
          <w:sz w:val="26"/>
          <w:szCs w:val="18"/>
        </w:rPr>
      </w:pPr>
      <w:r>
        <w:rPr>
          <w:rFonts w:ascii="Arial" w:eastAsia="Times New Roman" w:hAnsi="Arial"/>
          <w:color w:val="000000" w:themeColor="text1"/>
          <w:sz w:val="26"/>
          <w:szCs w:val="18"/>
        </w:rPr>
        <w:t xml:space="preserve">DHCS </w:t>
      </w:r>
      <w:r w:rsidR="0014236A" w:rsidRPr="0014236A">
        <w:rPr>
          <w:rFonts w:ascii="Arial" w:eastAsia="Times New Roman" w:hAnsi="Arial"/>
          <w:color w:val="000000" w:themeColor="text1"/>
          <w:sz w:val="26"/>
          <w:szCs w:val="18"/>
        </w:rPr>
        <w:t>Hearing Room</w:t>
      </w:r>
      <w:r>
        <w:rPr>
          <w:rFonts w:ascii="Arial" w:eastAsia="Times New Roman" w:hAnsi="Arial"/>
          <w:color w:val="000000" w:themeColor="text1"/>
          <w:sz w:val="26"/>
          <w:szCs w:val="18"/>
        </w:rPr>
        <w:t xml:space="preserve"> | </w:t>
      </w:r>
      <w:r w:rsidR="0014236A" w:rsidRPr="0014236A">
        <w:rPr>
          <w:rFonts w:ascii="Arial" w:eastAsia="Times New Roman" w:hAnsi="Arial"/>
          <w:color w:val="000000" w:themeColor="text1"/>
          <w:sz w:val="26"/>
          <w:szCs w:val="18"/>
        </w:rPr>
        <w:t>1500 Capitol Avenue, Sacramento, CA</w:t>
      </w:r>
    </w:p>
    <w:p w:rsidR="0014236A" w:rsidRPr="0014236A" w:rsidRDefault="0014236A" w:rsidP="0014236A">
      <w:pPr>
        <w:widowControl w:val="0"/>
        <w:autoSpaceDE w:val="0"/>
        <w:autoSpaceDN w:val="0"/>
        <w:adjustRightInd w:val="0"/>
        <w:spacing w:after="0" w:line="240" w:lineRule="auto"/>
        <w:jc w:val="center"/>
        <w:rPr>
          <w:rFonts w:ascii="Arial" w:eastAsia="Times New Roman" w:hAnsi="Arial"/>
          <w:color w:val="000000" w:themeColor="text1"/>
          <w:sz w:val="26"/>
          <w:szCs w:val="18"/>
        </w:rPr>
      </w:pPr>
    </w:p>
    <w:p w:rsidR="0014236A" w:rsidRPr="0014236A" w:rsidRDefault="0014236A" w:rsidP="0014236A">
      <w:pPr>
        <w:widowControl w:val="0"/>
        <w:autoSpaceDE w:val="0"/>
        <w:autoSpaceDN w:val="0"/>
        <w:adjustRightInd w:val="0"/>
        <w:spacing w:after="0" w:line="240" w:lineRule="auto"/>
        <w:jc w:val="center"/>
        <w:rPr>
          <w:rFonts w:ascii="Arial" w:eastAsia="Times New Roman" w:hAnsi="Arial" w:cs="Arial"/>
          <w:color w:val="000000" w:themeColor="text1"/>
          <w:sz w:val="26"/>
          <w:szCs w:val="18"/>
        </w:rPr>
      </w:pPr>
      <w:r w:rsidRPr="0014236A">
        <w:rPr>
          <w:rFonts w:ascii="Arial" w:eastAsia="Times New Roman" w:hAnsi="Arial" w:cs="Arial"/>
          <w:b/>
          <w:bCs/>
          <w:color w:val="000000" w:themeColor="text1"/>
          <w:sz w:val="26"/>
          <w:szCs w:val="18"/>
        </w:rPr>
        <w:t>Call-in Number</w:t>
      </w:r>
      <w:r w:rsidRPr="0014236A">
        <w:rPr>
          <w:rFonts w:ascii="Arial" w:eastAsia="Times New Roman" w:hAnsi="Arial" w:cs="Arial"/>
          <w:bCs/>
          <w:color w:val="000000" w:themeColor="text1"/>
          <w:sz w:val="26"/>
          <w:szCs w:val="18"/>
        </w:rPr>
        <w:t>:</w:t>
      </w:r>
      <w:r w:rsidRPr="0014236A">
        <w:rPr>
          <w:rFonts w:ascii="Arial" w:eastAsia="Times New Roman" w:hAnsi="Arial" w:cs="Arial"/>
          <w:color w:val="000000" w:themeColor="text1"/>
          <w:sz w:val="26"/>
          <w:szCs w:val="18"/>
        </w:rPr>
        <w:t xml:space="preserve"> </w:t>
      </w:r>
      <w:hyperlink r:id="rId7" w:history="1">
        <w:r w:rsidRPr="0014236A">
          <w:rPr>
            <w:rStyle w:val="Hyperlink"/>
            <w:rFonts w:ascii="Arial" w:eastAsia="Times New Roman" w:hAnsi="Arial" w:cs="Arial"/>
            <w:sz w:val="26"/>
            <w:szCs w:val="18"/>
          </w:rPr>
          <w:t>Click here</w:t>
        </w:r>
      </w:hyperlink>
      <w:r w:rsidRPr="0014236A">
        <w:rPr>
          <w:rFonts w:ascii="Arial" w:eastAsia="Times New Roman" w:hAnsi="Arial" w:cs="Arial"/>
          <w:color w:val="000000" w:themeColor="text1"/>
          <w:sz w:val="26"/>
          <w:szCs w:val="18"/>
        </w:rPr>
        <w:t xml:space="preserve"> to receive a unique call-in and pin number.</w:t>
      </w:r>
    </w:p>
    <w:p w:rsidR="0014236A" w:rsidRDefault="0014236A" w:rsidP="0014236A">
      <w:pPr>
        <w:rPr>
          <w:rFonts w:ascii="Arial" w:hAnsi="Arial"/>
          <w:sz w:val="26"/>
          <w:szCs w:val="26"/>
        </w:rPr>
      </w:pPr>
    </w:p>
    <w:p w:rsidR="0014236A" w:rsidRPr="0014236A" w:rsidRDefault="0014236A" w:rsidP="0014236A">
      <w:pPr>
        <w:rPr>
          <w:rFonts w:ascii="Arial" w:hAnsi="Arial"/>
          <w:sz w:val="26"/>
          <w:szCs w:val="26"/>
        </w:rPr>
      </w:pPr>
      <w:r w:rsidRPr="0014236A">
        <w:rPr>
          <w:rFonts w:ascii="Arial" w:hAnsi="Arial"/>
          <w:sz w:val="26"/>
          <w:szCs w:val="26"/>
        </w:rPr>
        <w:t xml:space="preserve">2:00 - 2:05 </w:t>
      </w:r>
      <w:r w:rsidRPr="0014236A">
        <w:rPr>
          <w:rFonts w:ascii="Arial" w:hAnsi="Arial"/>
          <w:sz w:val="26"/>
          <w:szCs w:val="26"/>
        </w:rPr>
        <w:tab/>
        <w:t>Welcome and Overview (Rollin Ives)</w:t>
      </w:r>
    </w:p>
    <w:p w:rsidR="0014236A" w:rsidRDefault="0014236A" w:rsidP="0014236A">
      <w:pPr>
        <w:ind w:left="1440" w:hanging="1440"/>
        <w:rPr>
          <w:rFonts w:ascii="Arial" w:hAnsi="Arial"/>
          <w:i/>
          <w:sz w:val="26"/>
          <w:szCs w:val="20"/>
        </w:rPr>
      </w:pPr>
      <w:r w:rsidRPr="0014236A">
        <w:rPr>
          <w:rFonts w:ascii="Arial" w:hAnsi="Arial"/>
          <w:sz w:val="26"/>
          <w:szCs w:val="26"/>
        </w:rPr>
        <w:t>2:05 - 2:30</w:t>
      </w:r>
      <w:r w:rsidRPr="0014236A">
        <w:rPr>
          <w:rFonts w:ascii="Arial" w:hAnsi="Arial"/>
          <w:sz w:val="26"/>
          <w:szCs w:val="26"/>
        </w:rPr>
        <w:tab/>
      </w:r>
      <w:r w:rsidR="0057386B">
        <w:rPr>
          <w:rFonts w:ascii="Arial" w:hAnsi="Arial"/>
          <w:sz w:val="26"/>
          <w:szCs w:val="26"/>
        </w:rPr>
        <w:t xml:space="preserve">Presentation and </w:t>
      </w:r>
      <w:r w:rsidRPr="0014236A">
        <w:rPr>
          <w:rFonts w:ascii="Arial" w:hAnsi="Arial"/>
          <w:sz w:val="26"/>
          <w:szCs w:val="26"/>
        </w:rPr>
        <w:t xml:space="preserve">Group Discussion on the Demonstration </w:t>
      </w:r>
      <w:r w:rsidR="0057386B" w:rsidRPr="0014236A">
        <w:rPr>
          <w:rFonts w:ascii="Arial" w:hAnsi="Arial"/>
          <w:sz w:val="26"/>
          <w:szCs w:val="26"/>
        </w:rPr>
        <w:t>Proposal’s</w:t>
      </w:r>
      <w:r w:rsidR="0057386B">
        <w:rPr>
          <w:rFonts w:ascii="Arial" w:hAnsi="Arial"/>
          <w:sz w:val="26"/>
          <w:szCs w:val="26"/>
        </w:rPr>
        <w:t xml:space="preserve"> recently submitted section: </w:t>
      </w:r>
      <w:r w:rsidRPr="00226644">
        <w:rPr>
          <w:rFonts w:ascii="Arial" w:hAnsi="Arial"/>
          <w:sz w:val="26"/>
          <w:szCs w:val="26"/>
        </w:rPr>
        <w:t>“</w:t>
      </w:r>
      <w:r w:rsidR="004D7FE7" w:rsidRPr="00226644">
        <w:rPr>
          <w:rFonts w:ascii="Arial" w:hAnsi="Arial"/>
          <w:sz w:val="26"/>
          <w:szCs w:val="26"/>
        </w:rPr>
        <w:t>Framework for Shared Accountability</w:t>
      </w:r>
      <w:r w:rsidRPr="00226644">
        <w:rPr>
          <w:rFonts w:ascii="Arial" w:hAnsi="Arial"/>
          <w:sz w:val="26"/>
          <w:szCs w:val="26"/>
        </w:rPr>
        <w:t>.”</w:t>
      </w:r>
      <w:r w:rsidRPr="0014236A">
        <w:rPr>
          <w:rFonts w:ascii="Arial" w:hAnsi="Arial"/>
          <w:sz w:val="26"/>
          <w:szCs w:val="26"/>
        </w:rPr>
        <w:t xml:space="preserve"> </w:t>
      </w:r>
      <w:r w:rsidRPr="0014236A">
        <w:rPr>
          <w:rFonts w:ascii="Arial" w:hAnsi="Arial"/>
          <w:i/>
          <w:sz w:val="26"/>
          <w:szCs w:val="20"/>
        </w:rPr>
        <w:t>(Mari Cantwell, DHCS: Deputy Director for Health Care Financing</w:t>
      </w:r>
      <w:r w:rsidR="00386BAB">
        <w:rPr>
          <w:rFonts w:ascii="Arial" w:hAnsi="Arial"/>
          <w:i/>
          <w:sz w:val="26"/>
          <w:szCs w:val="20"/>
        </w:rPr>
        <w:t xml:space="preserve"> and </w:t>
      </w:r>
      <w:r w:rsidR="00386BAB" w:rsidRPr="0014236A">
        <w:rPr>
          <w:rFonts w:ascii="Arial" w:hAnsi="Arial"/>
          <w:i/>
          <w:sz w:val="26"/>
          <w:szCs w:val="20"/>
        </w:rPr>
        <w:t xml:space="preserve">Sarah </w:t>
      </w:r>
      <w:r w:rsidR="00440DE5">
        <w:rPr>
          <w:rFonts w:ascii="Arial" w:hAnsi="Arial"/>
          <w:i/>
          <w:sz w:val="26"/>
          <w:szCs w:val="20"/>
        </w:rPr>
        <w:t>Arnquist, of Harbage Consulting</w:t>
      </w:r>
      <w:r w:rsidRPr="0014236A">
        <w:rPr>
          <w:rFonts w:ascii="Arial" w:hAnsi="Arial"/>
          <w:i/>
          <w:sz w:val="26"/>
          <w:szCs w:val="20"/>
        </w:rPr>
        <w:t>)</w:t>
      </w:r>
    </w:p>
    <w:p w:rsidR="0014236A" w:rsidRPr="00226644" w:rsidRDefault="0014236A" w:rsidP="0014236A">
      <w:pPr>
        <w:ind w:left="1440" w:hanging="1440"/>
        <w:rPr>
          <w:rFonts w:ascii="Arial" w:hAnsi="Arial"/>
          <w:i/>
          <w:sz w:val="16"/>
          <w:szCs w:val="20"/>
        </w:rPr>
      </w:pPr>
    </w:p>
    <w:p w:rsidR="00BA1322" w:rsidRDefault="0014236A" w:rsidP="00BA1322">
      <w:pPr>
        <w:ind w:left="1440" w:hanging="1440"/>
        <w:rPr>
          <w:rFonts w:ascii="Arial" w:hAnsi="Arial"/>
          <w:i/>
          <w:iCs/>
          <w:sz w:val="26"/>
          <w:szCs w:val="26"/>
        </w:rPr>
      </w:pPr>
      <w:r w:rsidRPr="0014236A">
        <w:rPr>
          <w:rFonts w:ascii="Arial" w:hAnsi="Arial"/>
          <w:sz w:val="26"/>
          <w:szCs w:val="26"/>
        </w:rPr>
        <w:t>2:30 - 3:20</w:t>
      </w:r>
      <w:r w:rsidRPr="0014236A">
        <w:rPr>
          <w:rFonts w:ascii="Arial" w:hAnsi="Arial"/>
          <w:sz w:val="26"/>
          <w:szCs w:val="26"/>
        </w:rPr>
        <w:tab/>
      </w:r>
      <w:r w:rsidRPr="0014236A">
        <w:rPr>
          <w:rFonts w:ascii="Arial" w:hAnsi="Arial"/>
          <w:b/>
          <w:bCs/>
          <w:sz w:val="26"/>
          <w:szCs w:val="26"/>
        </w:rPr>
        <w:t xml:space="preserve">Panel 1: Roles and Responsibilities: Care Management for Dual Eligible Beneficiaries with Serious Mental Illness. </w:t>
      </w:r>
      <w:r w:rsidRPr="0014236A">
        <w:rPr>
          <w:rFonts w:ascii="Arial" w:hAnsi="Arial"/>
          <w:i/>
          <w:iCs/>
          <w:sz w:val="26"/>
          <w:szCs w:val="26"/>
        </w:rPr>
        <w:t xml:space="preserve">Representatives from health plans and behavioral health agencies in Los Angeles and San Diego counties will </w:t>
      </w:r>
      <w:r w:rsidR="0057386B">
        <w:rPr>
          <w:rFonts w:ascii="Arial" w:hAnsi="Arial"/>
          <w:i/>
          <w:iCs/>
          <w:sz w:val="26"/>
          <w:szCs w:val="26"/>
        </w:rPr>
        <w:t xml:space="preserve">each </w:t>
      </w:r>
      <w:r w:rsidRPr="0014236A">
        <w:rPr>
          <w:rFonts w:ascii="Arial" w:hAnsi="Arial"/>
          <w:i/>
          <w:iCs/>
          <w:sz w:val="26"/>
          <w:szCs w:val="26"/>
        </w:rPr>
        <w:t xml:space="preserve">share </w:t>
      </w:r>
      <w:r w:rsidR="0057386B">
        <w:rPr>
          <w:rFonts w:ascii="Arial" w:hAnsi="Arial"/>
          <w:i/>
          <w:iCs/>
          <w:sz w:val="26"/>
          <w:szCs w:val="26"/>
        </w:rPr>
        <w:t xml:space="preserve">a </w:t>
      </w:r>
      <w:r w:rsidRPr="0014236A">
        <w:rPr>
          <w:rFonts w:ascii="Arial" w:hAnsi="Arial"/>
          <w:i/>
          <w:iCs/>
          <w:sz w:val="26"/>
          <w:szCs w:val="26"/>
        </w:rPr>
        <w:t>coordinated 10-minute presentation on ideas and preliminary strategies o</w:t>
      </w:r>
      <w:r>
        <w:rPr>
          <w:rFonts w:ascii="Arial" w:hAnsi="Arial"/>
          <w:i/>
          <w:iCs/>
          <w:sz w:val="26"/>
          <w:szCs w:val="26"/>
        </w:rPr>
        <w:t xml:space="preserve">n beneficiary care </w:t>
      </w:r>
      <w:r w:rsidR="0057386B">
        <w:rPr>
          <w:rFonts w:ascii="Arial" w:hAnsi="Arial"/>
          <w:i/>
          <w:iCs/>
          <w:sz w:val="26"/>
          <w:szCs w:val="26"/>
        </w:rPr>
        <w:t xml:space="preserve">responsibility and </w:t>
      </w:r>
      <w:r>
        <w:rPr>
          <w:rFonts w:ascii="Arial" w:hAnsi="Arial"/>
          <w:i/>
          <w:iCs/>
          <w:sz w:val="26"/>
          <w:szCs w:val="26"/>
        </w:rPr>
        <w:t xml:space="preserve">coordination related to </w:t>
      </w:r>
      <w:r w:rsidR="004D7FE7" w:rsidRPr="004D7FE7">
        <w:rPr>
          <w:rFonts w:ascii="Arial" w:hAnsi="Arial"/>
          <w:b/>
          <w:i/>
          <w:iCs/>
          <w:sz w:val="26"/>
          <w:szCs w:val="26"/>
        </w:rPr>
        <w:t>Beneficiary Scenario 1</w:t>
      </w:r>
      <w:r>
        <w:rPr>
          <w:rFonts w:ascii="Arial" w:hAnsi="Arial"/>
          <w:i/>
          <w:iCs/>
          <w:sz w:val="26"/>
          <w:szCs w:val="26"/>
        </w:rPr>
        <w:t>.</w:t>
      </w:r>
    </w:p>
    <w:p w:rsidR="0014236A" w:rsidRPr="00537C18" w:rsidRDefault="0014236A" w:rsidP="00BA1322">
      <w:pPr>
        <w:ind w:left="1440" w:hanging="1440"/>
        <w:rPr>
          <w:rFonts w:ascii="Arial" w:hAnsi="Arial"/>
          <w:i/>
          <w:iCs/>
          <w:sz w:val="26"/>
          <w:szCs w:val="26"/>
        </w:rPr>
      </w:pPr>
    </w:p>
    <w:p w:rsidR="0014236A" w:rsidRPr="00BA1322" w:rsidRDefault="0014236A" w:rsidP="00BA1322">
      <w:pPr>
        <w:ind w:left="1440" w:hanging="1440"/>
        <w:rPr>
          <w:rFonts w:ascii="Arial" w:hAnsi="Arial"/>
          <w:b/>
          <w:i/>
          <w:iCs/>
          <w:sz w:val="26"/>
          <w:szCs w:val="26"/>
        </w:rPr>
      </w:pPr>
      <w:r w:rsidRPr="0014236A">
        <w:rPr>
          <w:rFonts w:ascii="Arial" w:hAnsi="Arial"/>
          <w:sz w:val="26"/>
          <w:szCs w:val="26"/>
        </w:rPr>
        <w:t>3:20 – 4:10</w:t>
      </w:r>
      <w:r w:rsidRPr="0014236A">
        <w:rPr>
          <w:rFonts w:ascii="Arial" w:hAnsi="Arial"/>
          <w:sz w:val="26"/>
          <w:szCs w:val="26"/>
        </w:rPr>
        <w:tab/>
      </w:r>
      <w:r w:rsidRPr="0014236A">
        <w:rPr>
          <w:rFonts w:ascii="Arial" w:hAnsi="Arial"/>
          <w:b/>
          <w:bCs/>
          <w:sz w:val="26"/>
          <w:szCs w:val="26"/>
        </w:rPr>
        <w:t xml:space="preserve">Panel 2: Roles and Responsibilities: Screening, Assessments, and Referrals.  </w:t>
      </w:r>
      <w:r w:rsidRPr="0014236A">
        <w:rPr>
          <w:rFonts w:ascii="Arial" w:hAnsi="Arial"/>
          <w:i/>
          <w:iCs/>
          <w:sz w:val="26"/>
          <w:szCs w:val="26"/>
        </w:rPr>
        <w:t xml:space="preserve">Representatives from health plans and behavioral health agencies in San Mateo and Orange counties will </w:t>
      </w:r>
      <w:r w:rsidR="0057386B">
        <w:rPr>
          <w:rFonts w:ascii="Arial" w:hAnsi="Arial"/>
          <w:i/>
          <w:iCs/>
          <w:sz w:val="26"/>
          <w:szCs w:val="26"/>
        </w:rPr>
        <w:t xml:space="preserve">each </w:t>
      </w:r>
      <w:r w:rsidRPr="0014236A">
        <w:rPr>
          <w:rFonts w:ascii="Arial" w:hAnsi="Arial"/>
          <w:i/>
          <w:iCs/>
          <w:sz w:val="26"/>
          <w:szCs w:val="26"/>
        </w:rPr>
        <w:t xml:space="preserve">share </w:t>
      </w:r>
      <w:r w:rsidR="0057386B">
        <w:rPr>
          <w:rFonts w:ascii="Arial" w:hAnsi="Arial"/>
          <w:i/>
          <w:iCs/>
          <w:sz w:val="26"/>
          <w:szCs w:val="26"/>
        </w:rPr>
        <w:t xml:space="preserve">a </w:t>
      </w:r>
      <w:r w:rsidRPr="0014236A">
        <w:rPr>
          <w:rFonts w:ascii="Arial" w:hAnsi="Arial"/>
          <w:i/>
          <w:iCs/>
          <w:sz w:val="26"/>
          <w:szCs w:val="26"/>
        </w:rPr>
        <w:t>coordinated 10-minute presentation on ideas and preliminary strategies o</w:t>
      </w:r>
      <w:r>
        <w:rPr>
          <w:rFonts w:ascii="Arial" w:hAnsi="Arial"/>
          <w:i/>
          <w:iCs/>
          <w:sz w:val="26"/>
          <w:szCs w:val="26"/>
        </w:rPr>
        <w:t xml:space="preserve">n beneficiary care </w:t>
      </w:r>
      <w:r w:rsidR="0057386B">
        <w:rPr>
          <w:rFonts w:ascii="Arial" w:hAnsi="Arial"/>
          <w:i/>
          <w:iCs/>
          <w:sz w:val="26"/>
          <w:szCs w:val="26"/>
        </w:rPr>
        <w:t xml:space="preserve">responsibility and </w:t>
      </w:r>
      <w:r>
        <w:rPr>
          <w:rFonts w:ascii="Arial" w:hAnsi="Arial"/>
          <w:i/>
          <w:iCs/>
          <w:sz w:val="26"/>
          <w:szCs w:val="26"/>
        </w:rPr>
        <w:t xml:space="preserve">coordination related to </w:t>
      </w:r>
      <w:r w:rsidR="004D7FE7" w:rsidRPr="004D7FE7">
        <w:rPr>
          <w:rFonts w:ascii="Arial" w:hAnsi="Arial"/>
          <w:b/>
          <w:i/>
          <w:iCs/>
          <w:sz w:val="26"/>
          <w:szCs w:val="26"/>
        </w:rPr>
        <w:t>Beneficiary Scenarios 2 and 3.</w:t>
      </w:r>
    </w:p>
    <w:p w:rsidR="0014236A" w:rsidRPr="00226644" w:rsidRDefault="00537C18" w:rsidP="0014236A">
      <w:pPr>
        <w:ind w:left="1440" w:hanging="1440"/>
        <w:rPr>
          <w:rFonts w:ascii="Arial" w:hAnsi="Arial"/>
          <w:b/>
          <w:bCs/>
          <w:sz w:val="16"/>
          <w:szCs w:val="26"/>
        </w:rPr>
      </w:pPr>
      <w:r>
        <w:rPr>
          <w:rFonts w:ascii="Arial" w:hAnsi="Arial"/>
          <w:b/>
          <w:bCs/>
          <w:sz w:val="16"/>
          <w:szCs w:val="26"/>
        </w:rPr>
        <w:tab/>
      </w:r>
    </w:p>
    <w:p w:rsidR="0014236A" w:rsidRDefault="0014236A" w:rsidP="0014236A">
      <w:pPr>
        <w:rPr>
          <w:rFonts w:ascii="Arial" w:hAnsi="Arial"/>
          <w:b/>
          <w:sz w:val="24"/>
          <w:szCs w:val="26"/>
        </w:rPr>
      </w:pPr>
      <w:r w:rsidRPr="0014236A">
        <w:rPr>
          <w:rFonts w:ascii="Arial" w:hAnsi="Arial"/>
          <w:sz w:val="26"/>
          <w:szCs w:val="26"/>
        </w:rPr>
        <w:t>4:10 – 4:15</w:t>
      </w:r>
      <w:r w:rsidRPr="0014236A">
        <w:rPr>
          <w:rFonts w:ascii="Arial" w:hAnsi="Arial"/>
          <w:sz w:val="26"/>
          <w:szCs w:val="26"/>
        </w:rPr>
        <w:tab/>
        <w:t>Wrap up (Rollin Ives)</w:t>
      </w:r>
      <w:bookmarkStart w:id="0" w:name="_GoBack"/>
      <w:bookmarkEnd w:id="0"/>
    </w:p>
    <w:p w:rsidR="00BA1322" w:rsidRDefault="00BA1322" w:rsidP="0014236A">
      <w:pPr>
        <w:rPr>
          <w:rFonts w:ascii="Arial" w:hAnsi="Arial"/>
          <w:b/>
          <w:sz w:val="24"/>
          <w:szCs w:val="26"/>
        </w:rPr>
      </w:pPr>
    </w:p>
    <w:p w:rsidR="00226644" w:rsidRDefault="00226644" w:rsidP="0014236A">
      <w:pPr>
        <w:rPr>
          <w:rFonts w:ascii="Arial" w:hAnsi="Arial"/>
          <w:b/>
          <w:sz w:val="24"/>
          <w:szCs w:val="26"/>
        </w:rPr>
      </w:pPr>
    </w:p>
    <w:p w:rsidR="0014236A" w:rsidRPr="0014236A" w:rsidRDefault="0014236A" w:rsidP="0014236A">
      <w:pPr>
        <w:rPr>
          <w:rFonts w:ascii="Arial" w:hAnsi="Arial"/>
          <w:b/>
          <w:sz w:val="24"/>
          <w:szCs w:val="26"/>
        </w:rPr>
      </w:pPr>
      <w:r w:rsidRPr="0014236A">
        <w:rPr>
          <w:rFonts w:ascii="Arial" w:hAnsi="Arial"/>
          <w:b/>
          <w:sz w:val="24"/>
          <w:szCs w:val="26"/>
        </w:rPr>
        <w:t>Beneficiary Scenarios to guide the panel discussions</w:t>
      </w:r>
    </w:p>
    <w:p w:rsidR="0014236A" w:rsidRPr="00226644" w:rsidRDefault="0057386B" w:rsidP="0014236A">
      <w:pPr>
        <w:rPr>
          <w:rFonts w:ascii="Arial" w:hAnsi="Arial"/>
        </w:rPr>
      </w:pPr>
      <w:r w:rsidRPr="00226644">
        <w:rPr>
          <w:rFonts w:ascii="Arial" w:hAnsi="Arial"/>
          <w:b/>
          <w:szCs w:val="26"/>
        </w:rPr>
        <w:t>Beneficiary</w:t>
      </w:r>
      <w:r w:rsidRPr="00226644">
        <w:rPr>
          <w:rFonts w:ascii="Arial" w:hAnsi="Arial"/>
          <w:b/>
          <w:bCs/>
          <w:szCs w:val="24"/>
        </w:rPr>
        <w:t xml:space="preserve"> </w:t>
      </w:r>
      <w:r w:rsidR="0014236A" w:rsidRPr="00226644">
        <w:rPr>
          <w:rFonts w:ascii="Arial" w:hAnsi="Arial"/>
          <w:b/>
          <w:bCs/>
          <w:szCs w:val="24"/>
        </w:rPr>
        <w:t>Scenario 1</w:t>
      </w:r>
      <w:r w:rsidR="0014236A" w:rsidRPr="00226644">
        <w:rPr>
          <w:rFonts w:ascii="Arial" w:hAnsi="Arial"/>
          <w:szCs w:val="24"/>
        </w:rPr>
        <w:t xml:space="preserve">: </w:t>
      </w:r>
      <w:r w:rsidR="004D7FE7" w:rsidRPr="00226644">
        <w:rPr>
          <w:rFonts w:ascii="Arial" w:hAnsi="Arial"/>
        </w:rPr>
        <w:t>A 52-year-old female dual eligible beneficiary enrolled in your health plan under the demonstration is admitted to the psychiatric ward at a hospital in your network. The woman has a diagnosis of bipolar disorder and previously received services through the County Mental Health Department, but there has been a four-year gap since she last received services. She has been homeless for those four years and has not consistently received any services, but she has been admitted to the hospital through the emergency room four times in the last two years due to complications from her uncontrolled diabetes. She now complains of peripheral neuropathy in her feet. Her only source of income is her monthly Social Security Disability payment. Additionally, she has a history of addiction to Oxycodone (</w:t>
      </w:r>
      <w:r w:rsidR="004D7FE7" w:rsidRPr="00226644">
        <w:rPr>
          <w:rFonts w:ascii="Arial" w:hAnsi="Arial"/>
          <w:i/>
        </w:rPr>
        <w:t>OxyContin</w:t>
      </w:r>
      <w:r w:rsidR="004D7FE7" w:rsidRPr="00226644">
        <w:rPr>
          <w:rFonts w:ascii="Arial" w:hAnsi="Arial"/>
        </w:rPr>
        <w:t>) and other prescription pain medications and now has expressed interest in a drug rehabilitation program. How would you coordinate the care for this individual?</w:t>
      </w:r>
    </w:p>
    <w:p w:rsidR="0014236A" w:rsidRPr="00226644" w:rsidRDefault="004D7FE7" w:rsidP="0014236A">
      <w:pPr>
        <w:jc w:val="both"/>
        <w:rPr>
          <w:rFonts w:ascii="Arial" w:hAnsi="Arial"/>
        </w:rPr>
      </w:pPr>
      <w:r w:rsidRPr="00226644">
        <w:rPr>
          <w:rFonts w:ascii="Arial" w:hAnsi="Arial"/>
        </w:rPr>
        <w:t>In Scenario 1 above, presenters are asked to cover in a 10</w:t>
      </w:r>
      <w:r w:rsidR="00226644" w:rsidRPr="00226644">
        <w:rPr>
          <w:rFonts w:ascii="Arial" w:hAnsi="Arial"/>
        </w:rPr>
        <w:t>-</w:t>
      </w:r>
      <w:r w:rsidRPr="00226644">
        <w:rPr>
          <w:rFonts w:ascii="Arial" w:hAnsi="Arial"/>
        </w:rPr>
        <w:t>minute presentation (at least) these topics:</w:t>
      </w:r>
    </w:p>
    <w:p w:rsidR="00226644" w:rsidRPr="00226644" w:rsidRDefault="004D7FE7" w:rsidP="00226644">
      <w:pPr>
        <w:pStyle w:val="ListParagraph"/>
        <w:numPr>
          <w:ilvl w:val="0"/>
          <w:numId w:val="6"/>
        </w:numPr>
        <w:rPr>
          <w:rFonts w:ascii="Arial" w:hAnsi="Arial"/>
          <w:szCs w:val="20"/>
        </w:rPr>
      </w:pPr>
      <w:r w:rsidRPr="00226644">
        <w:rPr>
          <w:rFonts w:ascii="Arial" w:hAnsi="Arial"/>
          <w:b/>
          <w:szCs w:val="20"/>
        </w:rPr>
        <w:t>Responsibilities</w:t>
      </w:r>
      <w:r w:rsidRPr="00226644">
        <w:rPr>
          <w:rFonts w:ascii="Arial" w:hAnsi="Arial"/>
          <w:szCs w:val="20"/>
        </w:rPr>
        <w:t>: Describe the administrative responsibilities for the beneficiary in Scenario 1 now and under the proposed model for the duals demonstration. How might effective oversight, tracking and coordination of the beneficiaries in this scenario be ensured?</w:t>
      </w:r>
    </w:p>
    <w:p w:rsidR="00226644" w:rsidRPr="00226644" w:rsidRDefault="004D7FE7" w:rsidP="00226644">
      <w:pPr>
        <w:pStyle w:val="ListParagraph"/>
        <w:numPr>
          <w:ilvl w:val="0"/>
          <w:numId w:val="6"/>
        </w:numPr>
        <w:rPr>
          <w:rFonts w:ascii="Arial" w:hAnsi="Arial"/>
          <w:szCs w:val="20"/>
        </w:rPr>
      </w:pPr>
      <w:r w:rsidRPr="00226644">
        <w:rPr>
          <w:rFonts w:ascii="Arial" w:hAnsi="Arial"/>
          <w:b/>
          <w:szCs w:val="20"/>
        </w:rPr>
        <w:t>Care coordination:</w:t>
      </w:r>
      <w:r w:rsidRPr="00226644">
        <w:rPr>
          <w:rFonts w:ascii="Arial" w:hAnsi="Arial"/>
          <w:szCs w:val="20"/>
        </w:rPr>
        <w:t xml:space="preserve"> Describe how your organization would coordinate care with other organizations that have administrative and/or clinical responsibility for this beneficiary, including subcontracted health plans or provider groups, to ensure the beneficiary has access to needed physic</w:t>
      </w:r>
      <w:r w:rsidR="0057386B" w:rsidRPr="00226644">
        <w:rPr>
          <w:rFonts w:ascii="Arial" w:hAnsi="Arial"/>
          <w:szCs w:val="20"/>
        </w:rPr>
        <w:t>i</w:t>
      </w:r>
      <w:r w:rsidRPr="00226644">
        <w:rPr>
          <w:rFonts w:ascii="Arial" w:hAnsi="Arial"/>
          <w:szCs w:val="20"/>
        </w:rPr>
        <w:t>an and behavioral health care services</w:t>
      </w:r>
      <w:r w:rsidR="00226644" w:rsidRPr="00226644">
        <w:rPr>
          <w:rFonts w:ascii="Arial" w:hAnsi="Arial"/>
          <w:szCs w:val="20"/>
        </w:rPr>
        <w:t>.</w:t>
      </w:r>
    </w:p>
    <w:p w:rsidR="00226644" w:rsidRPr="00226644" w:rsidRDefault="004D7FE7" w:rsidP="00226644">
      <w:pPr>
        <w:pStyle w:val="ListParagraph"/>
        <w:numPr>
          <w:ilvl w:val="0"/>
          <w:numId w:val="6"/>
        </w:numPr>
        <w:rPr>
          <w:rFonts w:ascii="Arial" w:hAnsi="Arial"/>
          <w:szCs w:val="20"/>
        </w:rPr>
      </w:pPr>
      <w:r w:rsidRPr="00226644">
        <w:rPr>
          <w:rFonts w:ascii="Arial" w:hAnsi="Arial"/>
          <w:b/>
          <w:szCs w:val="20"/>
        </w:rPr>
        <w:t>Health homes</w:t>
      </w:r>
      <w:r w:rsidRPr="00226644">
        <w:rPr>
          <w:rFonts w:ascii="Arial" w:hAnsi="Arial"/>
          <w:szCs w:val="20"/>
        </w:rPr>
        <w:t>: How would the health home or primary provider be determined, and how would providers learn which other providers are involved in this beneficiary’s care?</w:t>
      </w:r>
    </w:p>
    <w:p w:rsidR="00BC3CA4" w:rsidRPr="00226644" w:rsidRDefault="00BC3CA4" w:rsidP="00226644">
      <w:pPr>
        <w:pStyle w:val="ListParagraph"/>
        <w:rPr>
          <w:rFonts w:ascii="Arial" w:hAnsi="Arial"/>
          <w:szCs w:val="20"/>
        </w:rPr>
      </w:pPr>
    </w:p>
    <w:p w:rsidR="0014236A" w:rsidRPr="00226644" w:rsidRDefault="0057386B" w:rsidP="0014236A">
      <w:pPr>
        <w:rPr>
          <w:rFonts w:ascii="Arial" w:hAnsi="Arial"/>
          <w:szCs w:val="24"/>
        </w:rPr>
      </w:pPr>
      <w:r w:rsidRPr="00226644">
        <w:rPr>
          <w:rFonts w:ascii="Arial" w:hAnsi="Arial"/>
          <w:b/>
          <w:szCs w:val="26"/>
        </w:rPr>
        <w:t>Beneficiary</w:t>
      </w:r>
      <w:r w:rsidRPr="00226644">
        <w:rPr>
          <w:rFonts w:ascii="Arial" w:hAnsi="Arial"/>
          <w:b/>
          <w:bCs/>
          <w:szCs w:val="24"/>
        </w:rPr>
        <w:t xml:space="preserve"> </w:t>
      </w:r>
      <w:r w:rsidR="0014236A" w:rsidRPr="00226644">
        <w:rPr>
          <w:rFonts w:ascii="Arial" w:hAnsi="Arial"/>
          <w:b/>
          <w:bCs/>
          <w:szCs w:val="24"/>
        </w:rPr>
        <w:t>Scenario 2</w:t>
      </w:r>
      <w:r w:rsidR="0014236A" w:rsidRPr="00226644">
        <w:rPr>
          <w:rFonts w:ascii="Arial" w:hAnsi="Arial"/>
          <w:szCs w:val="24"/>
        </w:rPr>
        <w:t xml:space="preserve">: </w:t>
      </w:r>
      <w:r w:rsidR="004D7FE7" w:rsidRPr="00226644">
        <w:rPr>
          <w:rFonts w:ascii="Arial" w:hAnsi="Arial"/>
        </w:rPr>
        <w:t>An 68-year-old man’s daughter brings him to his primary care doctor for a check-up because she is concerned that he might be depressed and his drinking has increased substantially since his wife died two years earlier. The man reports taking medications for hypertension and appears physically healthy, but has not seen a physician for a check-up in several years. What should the screening and referral process look like for this individual?</w:t>
      </w:r>
    </w:p>
    <w:p w:rsidR="0014236A" w:rsidRPr="00226644" w:rsidRDefault="0057386B" w:rsidP="0014236A">
      <w:pPr>
        <w:rPr>
          <w:rFonts w:ascii="Arial" w:hAnsi="Arial"/>
        </w:rPr>
      </w:pPr>
      <w:r w:rsidRPr="00226644">
        <w:rPr>
          <w:rFonts w:ascii="Arial" w:hAnsi="Arial"/>
          <w:b/>
          <w:szCs w:val="26"/>
        </w:rPr>
        <w:t>Beneficiary</w:t>
      </w:r>
      <w:r w:rsidRPr="00226644">
        <w:rPr>
          <w:rFonts w:ascii="Arial" w:hAnsi="Arial"/>
          <w:b/>
          <w:bCs/>
          <w:szCs w:val="24"/>
        </w:rPr>
        <w:t xml:space="preserve"> </w:t>
      </w:r>
      <w:r w:rsidR="0014236A" w:rsidRPr="00226644">
        <w:rPr>
          <w:rFonts w:ascii="Arial" w:hAnsi="Arial"/>
          <w:b/>
          <w:bCs/>
          <w:szCs w:val="24"/>
        </w:rPr>
        <w:t>Scenario 3</w:t>
      </w:r>
      <w:r w:rsidR="0014236A" w:rsidRPr="00226644">
        <w:rPr>
          <w:rFonts w:ascii="Arial" w:hAnsi="Arial"/>
          <w:szCs w:val="24"/>
        </w:rPr>
        <w:t xml:space="preserve">: </w:t>
      </w:r>
      <w:r w:rsidR="004D7FE7" w:rsidRPr="00226644">
        <w:rPr>
          <w:rFonts w:ascii="Arial" w:hAnsi="Arial"/>
        </w:rPr>
        <w:t>During the routine health-risk assessment upon new enrollment in the demonstration health plan, an 81-year-old woman is identified as possibly having cognitive limitations.  She lives alone in subsidized housing for seniors and is enrolled in the local Meals on Wheels program. Her daughter cares for her part time through the In-Home-Supportive Services program. What might the screening, referral and care coordination look like for this individual?</w:t>
      </w:r>
    </w:p>
    <w:p w:rsidR="0014236A" w:rsidRPr="00226644" w:rsidRDefault="004D7FE7" w:rsidP="0014236A">
      <w:pPr>
        <w:jc w:val="both"/>
        <w:rPr>
          <w:rFonts w:ascii="Arial" w:hAnsi="Arial"/>
        </w:rPr>
      </w:pPr>
      <w:r w:rsidRPr="00226644">
        <w:rPr>
          <w:rFonts w:ascii="Arial" w:hAnsi="Arial"/>
        </w:rPr>
        <w:t xml:space="preserve">Using Scenarios 2 and 3 above, presenters are asked to </w:t>
      </w:r>
      <w:r w:rsidR="00226644">
        <w:rPr>
          <w:rFonts w:ascii="Arial" w:hAnsi="Arial"/>
        </w:rPr>
        <w:t>cover</w:t>
      </w:r>
      <w:r w:rsidRPr="00226644">
        <w:rPr>
          <w:rFonts w:ascii="Arial" w:hAnsi="Arial"/>
        </w:rPr>
        <w:t xml:space="preserve"> in 10 minutes (at least) these topics:</w:t>
      </w:r>
    </w:p>
    <w:p w:rsidR="00BC3CA4" w:rsidRPr="00226644" w:rsidRDefault="004D7FE7">
      <w:pPr>
        <w:pStyle w:val="ListParagraph"/>
        <w:numPr>
          <w:ilvl w:val="0"/>
          <w:numId w:val="5"/>
        </w:numPr>
        <w:rPr>
          <w:rFonts w:ascii="Arial" w:hAnsi="Arial"/>
          <w:szCs w:val="20"/>
        </w:rPr>
      </w:pPr>
      <w:r w:rsidRPr="00226644">
        <w:rPr>
          <w:rFonts w:ascii="Arial" w:hAnsi="Arial"/>
          <w:b/>
          <w:szCs w:val="20"/>
        </w:rPr>
        <w:t>Screening, assessment, and referral for follow-up care</w:t>
      </w:r>
      <w:r w:rsidRPr="00226644">
        <w:rPr>
          <w:rFonts w:ascii="Arial" w:hAnsi="Arial"/>
          <w:szCs w:val="20"/>
        </w:rPr>
        <w:t>: Please describe proposed approaches for these aspects of care.</w:t>
      </w:r>
    </w:p>
    <w:p w:rsidR="00BC3CA4" w:rsidRPr="00226644" w:rsidRDefault="004D7FE7">
      <w:pPr>
        <w:pStyle w:val="ListParagraph"/>
        <w:numPr>
          <w:ilvl w:val="0"/>
          <w:numId w:val="5"/>
        </w:numPr>
        <w:rPr>
          <w:rFonts w:ascii="Arial" w:hAnsi="Arial"/>
          <w:szCs w:val="20"/>
        </w:rPr>
      </w:pPr>
      <w:r w:rsidRPr="00226644">
        <w:rPr>
          <w:rFonts w:ascii="Arial" w:hAnsi="Arial"/>
          <w:b/>
          <w:szCs w:val="20"/>
        </w:rPr>
        <w:t>Information Sharing</w:t>
      </w:r>
      <w:r w:rsidRPr="00226644">
        <w:rPr>
          <w:rFonts w:ascii="Arial" w:hAnsi="Arial"/>
          <w:szCs w:val="20"/>
        </w:rPr>
        <w:t>: How might screening and assessment information be shared across providers and organizations involved in the care for that beneficiary?</w:t>
      </w:r>
    </w:p>
    <w:p w:rsidR="00BC3CA4" w:rsidRPr="00226644" w:rsidRDefault="004D7FE7">
      <w:pPr>
        <w:pStyle w:val="ListParagraph"/>
        <w:numPr>
          <w:ilvl w:val="0"/>
          <w:numId w:val="5"/>
        </w:numPr>
        <w:rPr>
          <w:rFonts w:ascii="Arial" w:hAnsi="Arial"/>
          <w:szCs w:val="20"/>
        </w:rPr>
      </w:pPr>
      <w:r w:rsidRPr="00226644">
        <w:rPr>
          <w:rFonts w:ascii="Arial" w:hAnsi="Arial"/>
          <w:b/>
          <w:szCs w:val="20"/>
        </w:rPr>
        <w:t>Governance</w:t>
      </w:r>
      <w:r w:rsidRPr="00226644">
        <w:rPr>
          <w:rFonts w:ascii="Arial" w:hAnsi="Arial"/>
          <w:szCs w:val="20"/>
        </w:rPr>
        <w:t>: How would effective oversight, tracking</w:t>
      </w:r>
      <w:r w:rsidR="0057386B" w:rsidRPr="00226644">
        <w:rPr>
          <w:rFonts w:ascii="Arial" w:hAnsi="Arial"/>
          <w:szCs w:val="20"/>
        </w:rPr>
        <w:t>,</w:t>
      </w:r>
      <w:r w:rsidRPr="00226644">
        <w:rPr>
          <w:rFonts w:ascii="Arial" w:hAnsi="Arial"/>
          <w:szCs w:val="20"/>
        </w:rPr>
        <w:t xml:space="preserve"> coordination</w:t>
      </w:r>
      <w:r w:rsidR="0057386B" w:rsidRPr="00226644">
        <w:rPr>
          <w:rFonts w:ascii="Arial" w:hAnsi="Arial"/>
          <w:szCs w:val="20"/>
        </w:rPr>
        <w:t xml:space="preserve"> and problem resolution</w:t>
      </w:r>
      <w:r w:rsidRPr="00226644">
        <w:rPr>
          <w:rFonts w:ascii="Arial" w:hAnsi="Arial"/>
          <w:szCs w:val="20"/>
        </w:rPr>
        <w:t xml:space="preserve"> of the beneficiaries in th</w:t>
      </w:r>
      <w:r w:rsidR="0057386B" w:rsidRPr="00226644">
        <w:rPr>
          <w:rFonts w:ascii="Arial" w:hAnsi="Arial"/>
          <w:szCs w:val="20"/>
        </w:rPr>
        <w:t>ese</w:t>
      </w:r>
      <w:r w:rsidRPr="00226644">
        <w:rPr>
          <w:rFonts w:ascii="Arial" w:hAnsi="Arial"/>
          <w:szCs w:val="20"/>
        </w:rPr>
        <w:t xml:space="preserve"> scenario</w:t>
      </w:r>
      <w:r w:rsidR="0057386B" w:rsidRPr="00226644">
        <w:rPr>
          <w:rFonts w:ascii="Arial" w:hAnsi="Arial"/>
          <w:szCs w:val="20"/>
        </w:rPr>
        <w:t>s</w:t>
      </w:r>
      <w:r w:rsidRPr="00226644">
        <w:rPr>
          <w:rFonts w:ascii="Arial" w:hAnsi="Arial"/>
          <w:szCs w:val="20"/>
        </w:rPr>
        <w:t xml:space="preserve"> be ensured?</w:t>
      </w:r>
    </w:p>
    <w:sectPr w:rsidR="00BC3CA4" w:rsidRPr="00226644" w:rsidSect="0014236A">
      <w:footerReference w:type="default" r:id="rId8"/>
      <w:headerReference w:type="first" r:id="rId9"/>
      <w:footerReference w:type="first" r:id="rId10"/>
      <w:pgSz w:w="12240" w:h="15840"/>
      <w:pgMar w:top="720" w:right="864" w:bottom="792" w:left="864" w:header="576" w:footer="432"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2AD" w:rsidRDefault="00B872AD" w:rsidP="009802B1">
      <w:pPr>
        <w:spacing w:after="0" w:line="240" w:lineRule="auto"/>
      </w:pPr>
      <w:r>
        <w:separator/>
      </w:r>
    </w:p>
  </w:endnote>
  <w:endnote w:type="continuationSeparator" w:id="0">
    <w:p w:rsidR="00B872AD" w:rsidRDefault="00B872AD" w:rsidP="00980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Arial"/>
    <w:panose1 w:val="00000000000000000000"/>
    <w:charset w:val="00"/>
    <w:family w:val="auto"/>
    <w:pitch w:val="variable"/>
    <w:sig w:usb0="00000000" w:usb1="5000A1FF" w:usb2="00000000" w:usb3="00000000" w:csb0="000001BF" w:csb1="00000000"/>
  </w:font>
  <w:font w:name="Arial">
    <w:altName w:val="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71" w:rsidRDefault="00773037" w:rsidP="00101104">
    <w:pPr>
      <w:pStyle w:val="Footer"/>
      <w:jc w:val="right"/>
    </w:pPr>
    <w:r>
      <w:rPr>
        <w:rStyle w:val="PageNumber"/>
      </w:rPr>
      <w:fldChar w:fldCharType="begin"/>
    </w:r>
    <w:r w:rsidR="007F6D71">
      <w:rPr>
        <w:rStyle w:val="PageNumber"/>
      </w:rPr>
      <w:instrText xml:space="preserve"> PAGE </w:instrText>
    </w:r>
    <w:r>
      <w:rPr>
        <w:rStyle w:val="PageNumber"/>
      </w:rPr>
      <w:fldChar w:fldCharType="separate"/>
    </w:r>
    <w:r w:rsidR="00BA1322">
      <w:rPr>
        <w:rStyle w:val="PageNumber"/>
        <w:noProof/>
      </w:rPr>
      <w:t>2</w:t>
    </w:r>
    <w:r>
      <w:rPr>
        <w:rStyle w:val="PageNumber"/>
      </w:rPr>
      <w:fldChar w:fldCharType="end"/>
    </w:r>
    <w:r w:rsidR="007F6D71">
      <w:rPr>
        <w:rStyle w:val="PageNumber"/>
      </w:rPr>
      <w:t xml:space="preserve"> of </w:t>
    </w:r>
    <w:r>
      <w:rPr>
        <w:rStyle w:val="PageNumber"/>
      </w:rPr>
      <w:fldChar w:fldCharType="begin"/>
    </w:r>
    <w:r w:rsidR="007F6D71">
      <w:rPr>
        <w:rStyle w:val="PageNumber"/>
      </w:rPr>
      <w:instrText xml:space="preserve"> NUMPAGES </w:instrText>
    </w:r>
    <w:r>
      <w:rPr>
        <w:rStyle w:val="PageNumber"/>
      </w:rPr>
      <w:fldChar w:fldCharType="separate"/>
    </w:r>
    <w:r w:rsidR="00BA1322">
      <w:rPr>
        <w:rStyle w:val="PageNumber"/>
        <w:noProof/>
      </w:rPr>
      <w:t>3</w:t>
    </w:r>
    <w:r>
      <w:rPr>
        <w:rStyle w:val="PageNumber"/>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71" w:rsidRDefault="00773037">
    <w:pPr>
      <w:pStyle w:val="Footer"/>
    </w:pPr>
    <w:r>
      <w:rPr>
        <w:rStyle w:val="PageNumber"/>
      </w:rPr>
      <w:fldChar w:fldCharType="begin"/>
    </w:r>
    <w:r w:rsidR="007F6D71">
      <w:rPr>
        <w:rStyle w:val="PageNumber"/>
      </w:rPr>
      <w:instrText xml:space="preserve"> PAGE </w:instrText>
    </w:r>
    <w:r>
      <w:rPr>
        <w:rStyle w:val="PageNumber"/>
      </w:rPr>
      <w:fldChar w:fldCharType="separate"/>
    </w:r>
    <w:r w:rsidR="00BA1322">
      <w:rPr>
        <w:rStyle w:val="PageNumber"/>
        <w:noProof/>
      </w:rPr>
      <w:t>1</w:t>
    </w:r>
    <w:r>
      <w:rPr>
        <w:rStyle w:val="PageNumber"/>
      </w:rPr>
      <w:fldChar w:fldCharType="end"/>
    </w:r>
    <w:r w:rsidR="007F6D71">
      <w:rPr>
        <w:rStyle w:val="PageNumber"/>
      </w:rPr>
      <w:t xml:space="preserve"> of </w:t>
    </w:r>
    <w:r>
      <w:rPr>
        <w:rStyle w:val="PageNumber"/>
      </w:rPr>
      <w:fldChar w:fldCharType="begin"/>
    </w:r>
    <w:r w:rsidR="007F6D71">
      <w:rPr>
        <w:rStyle w:val="PageNumber"/>
      </w:rPr>
      <w:instrText xml:space="preserve"> NUMPAGES </w:instrText>
    </w:r>
    <w:r>
      <w:rPr>
        <w:rStyle w:val="PageNumber"/>
      </w:rPr>
      <w:fldChar w:fldCharType="separate"/>
    </w:r>
    <w:r w:rsidR="00BA1322">
      <w:rPr>
        <w:rStyle w:val="PageNumber"/>
        <w:noProof/>
      </w:rPr>
      <w:t>2</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2AD" w:rsidRDefault="00B872AD" w:rsidP="009802B1">
      <w:pPr>
        <w:spacing w:after="0" w:line="240" w:lineRule="auto"/>
      </w:pPr>
      <w:r>
        <w:separator/>
      </w:r>
    </w:p>
  </w:footnote>
  <w:footnote w:type="continuationSeparator" w:id="0">
    <w:p w:rsidR="00B872AD" w:rsidRDefault="00B872AD" w:rsidP="009802B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71" w:rsidRPr="009802B1" w:rsidRDefault="007F6D71" w:rsidP="00375755">
    <w:pPr>
      <w:spacing w:after="0" w:line="240" w:lineRule="auto"/>
      <w:jc w:val="center"/>
      <w:rPr>
        <w:rFonts w:ascii="Arial Narrow" w:eastAsia="Times New Roman" w:hAnsi="Arial Narrow" w:cs="Arial"/>
        <w:color w:val="000000"/>
        <w:sz w:val="28"/>
        <w:szCs w:val="28"/>
      </w:rPr>
    </w:pPr>
    <w:r>
      <w:rPr>
        <w:rFonts w:ascii="Times New Roman" w:eastAsia="Times New Roman" w:hAnsi="Times New Roman"/>
        <w:noProof/>
        <w:color w:val="333399"/>
        <w:sz w:val="28"/>
        <w:szCs w:val="24"/>
      </w:rPr>
      <w:drawing>
        <wp:anchor distT="0" distB="0" distL="114300" distR="114300" simplePos="0" relativeHeight="251660288" behindDoc="0" locked="0" layoutInCell="1" allowOverlap="1">
          <wp:simplePos x="0" y="0"/>
          <wp:positionH relativeFrom="column">
            <wp:posOffset>228600</wp:posOffset>
          </wp:positionH>
          <wp:positionV relativeFrom="paragraph">
            <wp:posOffset>86995</wp:posOffset>
          </wp:positionV>
          <wp:extent cx="914400" cy="868045"/>
          <wp:effectExtent l="0" t="0" r="0" b="8255"/>
          <wp:wrapNone/>
          <wp:docPr id="5" name="Picture 4" descr="logo_DHCS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HCS_v"/>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68045"/>
                  </a:xfrm>
                  <a:prstGeom prst="rect">
                    <a:avLst/>
                  </a:prstGeom>
                  <a:noFill/>
                  <a:ln>
                    <a:noFill/>
                  </a:ln>
                </pic:spPr>
              </pic:pic>
            </a:graphicData>
          </a:graphic>
        </wp:anchor>
      </w:drawing>
    </w:r>
    <w:r>
      <w:rPr>
        <w:rFonts w:ascii="Arial" w:eastAsia="Times New Roman" w:hAnsi="Arial" w:cs="Arial"/>
        <w:noProof/>
        <w:color w:val="000000"/>
        <w:sz w:val="32"/>
        <w:szCs w:val="24"/>
      </w:rPr>
      <w:drawing>
        <wp:anchor distT="0" distB="0" distL="114300" distR="114300" simplePos="0" relativeHeight="251659264" behindDoc="1" locked="0" layoutInCell="1" allowOverlap="1">
          <wp:simplePos x="0" y="0"/>
          <wp:positionH relativeFrom="column">
            <wp:posOffset>6057900</wp:posOffset>
          </wp:positionH>
          <wp:positionV relativeFrom="paragraph">
            <wp:posOffset>86995</wp:posOffset>
          </wp:positionV>
          <wp:extent cx="800100" cy="800100"/>
          <wp:effectExtent l="0" t="0" r="0" b="0"/>
          <wp:wrapNone/>
          <wp:docPr id="6" name="Picture 3"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anchor>
      </w:drawing>
    </w:r>
    <w:r w:rsidRPr="009802B1">
      <w:rPr>
        <w:rFonts w:ascii="Arial Narrow" w:eastAsia="Times New Roman" w:hAnsi="Arial Narrow" w:cs="Arial"/>
        <w:color w:val="000000"/>
        <w:sz w:val="28"/>
        <w:szCs w:val="28"/>
      </w:rPr>
      <w:t>State of California—Health and Human Services Agency</w:t>
    </w:r>
  </w:p>
  <w:p w:rsidR="007F6D71" w:rsidRPr="009802B1" w:rsidRDefault="007F6D71" w:rsidP="00375755">
    <w:pPr>
      <w:tabs>
        <w:tab w:val="left" w:pos="823"/>
        <w:tab w:val="center" w:pos="5645"/>
        <w:tab w:val="center" w:pos="5760"/>
        <w:tab w:val="right" w:pos="10800"/>
      </w:tabs>
      <w:spacing w:after="0" w:line="240" w:lineRule="auto"/>
      <w:rPr>
        <w:rFonts w:ascii="Arial Narrow" w:eastAsia="Times New Roman" w:hAnsi="Arial Narrow" w:cs="Arial"/>
        <w:color w:val="000000"/>
        <w:sz w:val="44"/>
        <w:szCs w:val="24"/>
      </w:rPr>
    </w:pPr>
    <w:r w:rsidRPr="009802B1">
      <w:rPr>
        <w:rFonts w:ascii="Arial Narrow" w:eastAsia="Times New Roman" w:hAnsi="Arial Narrow" w:cs="Arial"/>
        <w:color w:val="000000"/>
        <w:sz w:val="44"/>
        <w:szCs w:val="24"/>
      </w:rPr>
      <w:tab/>
    </w:r>
    <w:r w:rsidRPr="009802B1">
      <w:rPr>
        <w:rFonts w:ascii="Arial Narrow" w:eastAsia="Times New Roman" w:hAnsi="Arial Narrow" w:cs="Arial"/>
        <w:color w:val="000000"/>
        <w:sz w:val="44"/>
        <w:szCs w:val="24"/>
      </w:rPr>
      <w:tab/>
      <w:t>Department of Health Care Services</w:t>
    </w:r>
  </w:p>
  <w:p w:rsidR="007F6D71" w:rsidRPr="009802B1" w:rsidRDefault="007F6D71" w:rsidP="00375755">
    <w:pPr>
      <w:tabs>
        <w:tab w:val="left" w:pos="823"/>
        <w:tab w:val="center" w:pos="5760"/>
        <w:tab w:val="right" w:pos="10800"/>
      </w:tabs>
      <w:spacing w:after="0" w:line="240" w:lineRule="auto"/>
      <w:rPr>
        <w:rFonts w:ascii="Arial" w:eastAsia="Times New Roman" w:hAnsi="Arial" w:cs="Arial"/>
        <w:color w:val="000000"/>
        <w:sz w:val="32"/>
        <w:szCs w:val="24"/>
      </w:rPr>
    </w:pPr>
    <w:r w:rsidRPr="009802B1">
      <w:rPr>
        <w:rFonts w:ascii="Arial" w:eastAsia="Times New Roman" w:hAnsi="Arial" w:cs="Arial"/>
        <w:color w:val="000000"/>
        <w:sz w:val="32"/>
        <w:szCs w:val="24"/>
      </w:rPr>
      <w:tab/>
    </w:r>
  </w:p>
  <w:p w:rsidR="007F6D71" w:rsidRPr="009802B1" w:rsidRDefault="007F6D71" w:rsidP="00375755">
    <w:pPr>
      <w:tabs>
        <w:tab w:val="left" w:pos="3600"/>
        <w:tab w:val="center" w:pos="5760"/>
        <w:tab w:val="right" w:pos="10800"/>
      </w:tabs>
      <w:spacing w:after="0" w:line="240" w:lineRule="auto"/>
      <w:rPr>
        <w:rFonts w:ascii="Arial" w:eastAsia="Times New Roman" w:hAnsi="Arial" w:cs="Arial"/>
        <w:color w:val="000000"/>
        <w:sz w:val="32"/>
        <w:szCs w:val="24"/>
      </w:rPr>
    </w:pPr>
    <w:r>
      <w:rPr>
        <w:rFonts w:ascii="Arial" w:eastAsia="Times New Roman" w:hAnsi="Arial" w:cs="Arial"/>
        <w:color w:val="000000"/>
        <w:sz w:val="32"/>
        <w:szCs w:val="24"/>
      </w:rPr>
      <w:tab/>
    </w:r>
  </w:p>
  <w:p w:rsidR="007F6D71" w:rsidRPr="009802B1" w:rsidRDefault="007F6D71" w:rsidP="00375755">
    <w:pPr>
      <w:tabs>
        <w:tab w:val="center" w:pos="1080"/>
        <w:tab w:val="center" w:pos="10080"/>
      </w:tabs>
      <w:spacing w:after="0" w:line="240" w:lineRule="auto"/>
      <w:rPr>
        <w:rFonts w:ascii="Arial Narrow" w:eastAsia="Times New Roman" w:hAnsi="Arial Narrow" w:cs="Arial"/>
        <w:b/>
        <w:bCs/>
        <w:sz w:val="16"/>
        <w:szCs w:val="24"/>
      </w:rPr>
    </w:pPr>
    <w:r w:rsidRPr="009802B1">
      <w:rPr>
        <w:rFonts w:ascii="Arial" w:eastAsia="Times New Roman" w:hAnsi="Arial" w:cs="Arial"/>
        <w:b/>
        <w:bCs/>
        <w:sz w:val="16"/>
        <w:szCs w:val="24"/>
      </w:rPr>
      <w:tab/>
    </w:r>
    <w:r w:rsidRPr="009802B1">
      <w:rPr>
        <w:rFonts w:ascii="Arial Narrow" w:eastAsia="Times New Roman" w:hAnsi="Arial Narrow" w:cs="Arial"/>
        <w:b/>
        <w:bCs/>
        <w:sz w:val="16"/>
        <w:szCs w:val="24"/>
      </w:rPr>
      <w:t>TOBY DOUGLAS</w:t>
    </w:r>
    <w:r w:rsidRPr="009802B1">
      <w:rPr>
        <w:rFonts w:ascii="Arial Narrow" w:eastAsia="Times New Roman" w:hAnsi="Arial Narrow" w:cs="Arial"/>
        <w:b/>
        <w:bCs/>
        <w:sz w:val="16"/>
        <w:szCs w:val="24"/>
      </w:rPr>
      <w:tab/>
    </w:r>
    <w:r w:rsidRPr="009802B1">
      <w:rPr>
        <w:rFonts w:ascii="Arial Narrow" w:eastAsia="Times New Roman" w:hAnsi="Arial Narrow" w:cs="Arial"/>
        <w:b/>
        <w:bCs/>
        <w:color w:val="000000"/>
        <w:sz w:val="16"/>
        <w:szCs w:val="24"/>
      </w:rPr>
      <w:t>EDMUND G. BROWN JR.</w:t>
    </w:r>
  </w:p>
  <w:p w:rsidR="007F6D71" w:rsidRPr="00375755" w:rsidRDefault="007F6D71" w:rsidP="00375755">
    <w:pPr>
      <w:tabs>
        <w:tab w:val="center" w:pos="1080"/>
        <w:tab w:val="center" w:pos="10080"/>
      </w:tabs>
      <w:spacing w:after="0" w:line="240" w:lineRule="auto"/>
      <w:rPr>
        <w:rFonts w:ascii="Arial Narrow" w:eastAsia="Times New Roman" w:hAnsi="Arial Narrow" w:cs="Arial"/>
        <w:i/>
        <w:sz w:val="16"/>
        <w:szCs w:val="24"/>
      </w:rPr>
    </w:pPr>
    <w:r w:rsidRPr="009802B1">
      <w:rPr>
        <w:rFonts w:ascii="Arial Narrow" w:eastAsia="Times New Roman" w:hAnsi="Arial Narrow" w:cs="Arial"/>
        <w:b/>
        <w:bCs/>
        <w:i/>
        <w:sz w:val="16"/>
        <w:szCs w:val="24"/>
      </w:rPr>
      <w:tab/>
    </w:r>
    <w:r w:rsidRPr="009802B1">
      <w:rPr>
        <w:rFonts w:ascii="Arial Narrow" w:eastAsia="Times New Roman" w:hAnsi="Arial Narrow" w:cs="Arial"/>
        <w:i/>
        <w:sz w:val="16"/>
        <w:szCs w:val="24"/>
      </w:rPr>
      <w:t>DIRECTOR</w:t>
    </w:r>
    <w:r w:rsidRPr="009802B1">
      <w:rPr>
        <w:rFonts w:ascii="Arial Narrow" w:eastAsia="Times New Roman" w:hAnsi="Arial Narrow" w:cs="Arial"/>
        <w:i/>
        <w:sz w:val="16"/>
        <w:szCs w:val="24"/>
      </w:rPr>
      <w:tab/>
    </w:r>
    <w:r w:rsidRPr="009802B1">
      <w:rPr>
        <w:rFonts w:ascii="Arial Narrow" w:eastAsia="Times New Roman" w:hAnsi="Arial Narrow"/>
        <w:bCs/>
        <w:i/>
        <w:iCs/>
        <w:color w:val="000000"/>
        <w:sz w:val="16"/>
        <w:szCs w:val="24"/>
      </w:rPr>
      <w:t>G</w:t>
    </w:r>
    <w:r>
      <w:rPr>
        <w:rFonts w:ascii="Arial Narrow" w:eastAsia="Times New Roman" w:hAnsi="Arial Narrow"/>
        <w:bCs/>
        <w:i/>
        <w:iCs/>
        <w:color w:val="000000"/>
        <w:sz w:val="16"/>
        <w:szCs w:val="24"/>
      </w:rPr>
      <w:t>OVERNO</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540D1"/>
    <w:multiLevelType w:val="hybridMultilevel"/>
    <w:tmpl w:val="91247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1E45325"/>
    <w:multiLevelType w:val="hybridMultilevel"/>
    <w:tmpl w:val="027A8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71332A3"/>
    <w:multiLevelType w:val="hybridMultilevel"/>
    <w:tmpl w:val="B3A2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C7213"/>
    <w:multiLevelType w:val="hybridMultilevel"/>
    <w:tmpl w:val="04406B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E885A6D"/>
    <w:multiLevelType w:val="hybridMultilevel"/>
    <w:tmpl w:val="0D003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A65A9E"/>
    <w:multiLevelType w:val="hybridMultilevel"/>
    <w:tmpl w:val="425A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802B1"/>
    <w:rsid w:val="000172EA"/>
    <w:rsid w:val="00023A82"/>
    <w:rsid w:val="0003250E"/>
    <w:rsid w:val="000354EC"/>
    <w:rsid w:val="00096BDA"/>
    <w:rsid w:val="000F145D"/>
    <w:rsid w:val="000F6E0D"/>
    <w:rsid w:val="00101104"/>
    <w:rsid w:val="0014236A"/>
    <w:rsid w:val="001744BF"/>
    <w:rsid w:val="00192323"/>
    <w:rsid w:val="0019331A"/>
    <w:rsid w:val="001964F3"/>
    <w:rsid w:val="00226644"/>
    <w:rsid w:val="002622BE"/>
    <w:rsid w:val="00266051"/>
    <w:rsid w:val="00276A62"/>
    <w:rsid w:val="00295251"/>
    <w:rsid w:val="002E313F"/>
    <w:rsid w:val="003013C1"/>
    <w:rsid w:val="00310150"/>
    <w:rsid w:val="003165BA"/>
    <w:rsid w:val="00374915"/>
    <w:rsid w:val="00375755"/>
    <w:rsid w:val="00386BAB"/>
    <w:rsid w:val="003C1632"/>
    <w:rsid w:val="003C4375"/>
    <w:rsid w:val="00440BC2"/>
    <w:rsid w:val="00440DE5"/>
    <w:rsid w:val="00477593"/>
    <w:rsid w:val="00486132"/>
    <w:rsid w:val="004D7FE7"/>
    <w:rsid w:val="00515C6A"/>
    <w:rsid w:val="00537C18"/>
    <w:rsid w:val="00543591"/>
    <w:rsid w:val="0056067C"/>
    <w:rsid w:val="0056632C"/>
    <w:rsid w:val="0057386B"/>
    <w:rsid w:val="005B00CE"/>
    <w:rsid w:val="005C3E80"/>
    <w:rsid w:val="005C6B8E"/>
    <w:rsid w:val="00680EA1"/>
    <w:rsid w:val="00686F25"/>
    <w:rsid w:val="006A2458"/>
    <w:rsid w:val="006A4CE5"/>
    <w:rsid w:val="006A7A5A"/>
    <w:rsid w:val="006B4B1D"/>
    <w:rsid w:val="006D0D35"/>
    <w:rsid w:val="006D4019"/>
    <w:rsid w:val="006E7EB7"/>
    <w:rsid w:val="0076194F"/>
    <w:rsid w:val="00773037"/>
    <w:rsid w:val="00775483"/>
    <w:rsid w:val="007910C5"/>
    <w:rsid w:val="007A2FA1"/>
    <w:rsid w:val="007A30D5"/>
    <w:rsid w:val="007D7DC8"/>
    <w:rsid w:val="007F6D71"/>
    <w:rsid w:val="008206D0"/>
    <w:rsid w:val="00843EFC"/>
    <w:rsid w:val="009023B8"/>
    <w:rsid w:val="009802B1"/>
    <w:rsid w:val="009D3854"/>
    <w:rsid w:val="00A147C7"/>
    <w:rsid w:val="00AD2906"/>
    <w:rsid w:val="00B11B10"/>
    <w:rsid w:val="00B208E4"/>
    <w:rsid w:val="00B872AD"/>
    <w:rsid w:val="00BA1322"/>
    <w:rsid w:val="00BB1E2B"/>
    <w:rsid w:val="00BC3CA4"/>
    <w:rsid w:val="00BC6F03"/>
    <w:rsid w:val="00BD4727"/>
    <w:rsid w:val="00C30B74"/>
    <w:rsid w:val="00C45AD3"/>
    <w:rsid w:val="00C47CA7"/>
    <w:rsid w:val="00C5345D"/>
    <w:rsid w:val="00C63EC8"/>
    <w:rsid w:val="00C80054"/>
    <w:rsid w:val="00C83F9C"/>
    <w:rsid w:val="00CC7D30"/>
    <w:rsid w:val="00CE0590"/>
    <w:rsid w:val="00D25883"/>
    <w:rsid w:val="00D42A88"/>
    <w:rsid w:val="00D43971"/>
    <w:rsid w:val="00D54D52"/>
    <w:rsid w:val="00EB3589"/>
    <w:rsid w:val="00EF6FE0"/>
    <w:rsid w:val="00EF74A7"/>
    <w:rsid w:val="00F160C2"/>
    <w:rsid w:val="00F47358"/>
    <w:rsid w:val="00F82E19"/>
    <w:rsid w:val="00FE698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150"/>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8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851"/>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F07851"/>
    <w:rPr>
      <w:rFonts w:ascii="Lucida Grande" w:hAnsi="Lucida Grande" w:cs="Lucida Grande"/>
      <w:sz w:val="18"/>
      <w:szCs w:val="18"/>
    </w:rPr>
  </w:style>
  <w:style w:type="character" w:customStyle="1" w:styleId="BalloonTextChar2">
    <w:name w:val="Balloon Text Char"/>
    <w:basedOn w:val="DefaultParagraphFont"/>
    <w:uiPriority w:val="99"/>
    <w:semiHidden/>
    <w:rsid w:val="00A02F0F"/>
    <w:rPr>
      <w:rFonts w:ascii="Lucida Grande" w:hAnsi="Lucida Grande"/>
      <w:sz w:val="18"/>
      <w:szCs w:val="18"/>
    </w:rPr>
  </w:style>
  <w:style w:type="character" w:customStyle="1" w:styleId="BalloonTextChar3">
    <w:name w:val="Balloon Text Char"/>
    <w:basedOn w:val="DefaultParagraphFont"/>
    <w:uiPriority w:val="99"/>
    <w:semiHidden/>
    <w:rsid w:val="009F0849"/>
    <w:rPr>
      <w:rFonts w:ascii="Lucida Grande" w:hAnsi="Lucida Grande"/>
      <w:sz w:val="18"/>
      <w:szCs w:val="18"/>
    </w:rPr>
  </w:style>
  <w:style w:type="character" w:customStyle="1" w:styleId="BalloonTextChar4">
    <w:name w:val="Balloon Text Char"/>
    <w:basedOn w:val="DefaultParagraphFont"/>
    <w:uiPriority w:val="99"/>
    <w:semiHidden/>
    <w:rsid w:val="00FF7126"/>
    <w:rPr>
      <w:rFonts w:ascii="Lucida Grande" w:hAnsi="Lucida Grande"/>
      <w:sz w:val="18"/>
      <w:szCs w:val="18"/>
    </w:rPr>
  </w:style>
  <w:style w:type="character" w:customStyle="1" w:styleId="BalloonTextChar5">
    <w:name w:val="Balloon Text Char"/>
    <w:basedOn w:val="DefaultParagraphFont"/>
    <w:uiPriority w:val="99"/>
    <w:semiHidden/>
    <w:rsid w:val="00FF7126"/>
    <w:rPr>
      <w:rFonts w:ascii="Lucida Grande" w:hAnsi="Lucida Grande"/>
      <w:sz w:val="18"/>
      <w:szCs w:val="18"/>
    </w:rPr>
  </w:style>
  <w:style w:type="character" w:customStyle="1" w:styleId="BalloonTextChar6">
    <w:name w:val="Balloon Text Char"/>
    <w:basedOn w:val="DefaultParagraphFont"/>
    <w:uiPriority w:val="99"/>
    <w:semiHidden/>
    <w:rsid w:val="00FF7126"/>
    <w:rPr>
      <w:rFonts w:ascii="Lucida Grande" w:hAnsi="Lucida Grande"/>
      <w:sz w:val="18"/>
      <w:szCs w:val="18"/>
    </w:rPr>
  </w:style>
  <w:style w:type="character" w:customStyle="1" w:styleId="BalloonTextChar7">
    <w:name w:val="Balloon Text Char"/>
    <w:basedOn w:val="DefaultParagraphFont"/>
    <w:uiPriority w:val="99"/>
    <w:semiHidden/>
    <w:rsid w:val="00FF7126"/>
    <w:rPr>
      <w:rFonts w:ascii="Lucida Grande" w:hAnsi="Lucida Grande"/>
      <w:sz w:val="18"/>
      <w:szCs w:val="18"/>
    </w:rPr>
  </w:style>
  <w:style w:type="character" w:customStyle="1" w:styleId="BalloonTextChar8">
    <w:name w:val="Balloon Text Char"/>
    <w:basedOn w:val="DefaultParagraphFont"/>
    <w:uiPriority w:val="99"/>
    <w:semiHidden/>
    <w:rsid w:val="00FF7126"/>
    <w:rPr>
      <w:rFonts w:ascii="Lucida Grande" w:hAnsi="Lucida Grande"/>
      <w:sz w:val="18"/>
      <w:szCs w:val="18"/>
    </w:rPr>
  </w:style>
  <w:style w:type="character" w:customStyle="1" w:styleId="BalloonTextChar9">
    <w:name w:val="Balloon Text Char"/>
    <w:basedOn w:val="DefaultParagraphFont"/>
    <w:uiPriority w:val="99"/>
    <w:semiHidden/>
    <w:rsid w:val="00FF7126"/>
    <w:rPr>
      <w:rFonts w:ascii="Lucida Grande" w:hAnsi="Lucida Grande"/>
      <w:sz w:val="18"/>
      <w:szCs w:val="18"/>
    </w:rPr>
  </w:style>
  <w:style w:type="paragraph" w:styleId="Header">
    <w:name w:val="header"/>
    <w:basedOn w:val="Normal"/>
    <w:link w:val="HeaderChar"/>
    <w:uiPriority w:val="99"/>
    <w:unhideWhenUsed/>
    <w:rsid w:val="009802B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802B1"/>
  </w:style>
  <w:style w:type="paragraph" w:styleId="Footer">
    <w:name w:val="footer"/>
    <w:basedOn w:val="Normal"/>
    <w:link w:val="FooterChar"/>
    <w:uiPriority w:val="99"/>
    <w:unhideWhenUsed/>
    <w:rsid w:val="009802B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802B1"/>
  </w:style>
  <w:style w:type="character" w:customStyle="1" w:styleId="BalloonTextChar1">
    <w:name w:val="Balloon Text Char1"/>
    <w:basedOn w:val="DefaultParagraphFont"/>
    <w:link w:val="BalloonText"/>
    <w:uiPriority w:val="99"/>
    <w:semiHidden/>
    <w:rsid w:val="009802B1"/>
    <w:rPr>
      <w:rFonts w:ascii="Tahoma" w:hAnsi="Tahoma" w:cs="Tahoma"/>
      <w:sz w:val="16"/>
      <w:szCs w:val="16"/>
    </w:rPr>
  </w:style>
  <w:style w:type="character" w:styleId="Hyperlink">
    <w:name w:val="Hyperlink"/>
    <w:uiPriority w:val="99"/>
    <w:unhideWhenUsed/>
    <w:rsid w:val="00310150"/>
    <w:rPr>
      <w:color w:val="0000FF"/>
      <w:u w:val="single"/>
    </w:rPr>
  </w:style>
  <w:style w:type="paragraph" w:styleId="ListParagraph">
    <w:name w:val="List Paragraph"/>
    <w:basedOn w:val="Normal"/>
    <w:uiPriority w:val="99"/>
    <w:qFormat/>
    <w:rsid w:val="003C1632"/>
    <w:pPr>
      <w:ind w:left="720"/>
      <w:contextualSpacing/>
    </w:pPr>
  </w:style>
  <w:style w:type="character" w:styleId="PageNumber">
    <w:name w:val="page number"/>
    <w:basedOn w:val="DefaultParagraphFont"/>
    <w:uiPriority w:val="99"/>
    <w:semiHidden/>
    <w:unhideWhenUsed/>
    <w:rsid w:val="00101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1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header"/>
    <w:basedOn w:val="Normal"/>
    <w:link w:val="BalloonTextChar"/>
    <w:uiPriority w:val="99"/>
    <w:unhideWhenUsed/>
    <w:rsid w:val="009802B1"/>
    <w:pPr>
      <w:tabs>
        <w:tab w:val="center" w:pos="4680"/>
        <w:tab w:val="right" w:pos="9360"/>
      </w:tabs>
      <w:spacing w:after="0" w:line="240" w:lineRule="auto"/>
    </w:pPr>
    <w:rPr>
      <w:rFonts w:asciiTheme="minorHAnsi" w:eastAsiaTheme="minorHAnsi" w:hAnsiTheme="minorHAnsi" w:cstheme="minorBidi"/>
    </w:rPr>
  </w:style>
  <w:style w:type="character" w:customStyle="1" w:styleId="BalloonTextChar">
    <w:name w:val="Header Char"/>
    <w:basedOn w:val="DefaultParagraphFont"/>
    <w:link w:val="BalloonText"/>
    <w:uiPriority w:val="99"/>
    <w:rsid w:val="009802B1"/>
  </w:style>
  <w:style w:type="paragraph" w:styleId="BalloonTextChar0">
    <w:name w:val="footer"/>
    <w:basedOn w:val="Normal"/>
    <w:link w:val="BalloonTextChar2"/>
    <w:uiPriority w:val="99"/>
    <w:unhideWhenUsed/>
    <w:rsid w:val="009802B1"/>
    <w:pPr>
      <w:tabs>
        <w:tab w:val="center" w:pos="4680"/>
        <w:tab w:val="right" w:pos="9360"/>
      </w:tabs>
      <w:spacing w:after="0" w:line="240" w:lineRule="auto"/>
    </w:pPr>
    <w:rPr>
      <w:rFonts w:asciiTheme="minorHAnsi" w:eastAsiaTheme="minorHAnsi" w:hAnsiTheme="minorHAnsi" w:cstheme="minorBidi"/>
    </w:rPr>
  </w:style>
  <w:style w:type="character" w:customStyle="1" w:styleId="BalloonTextChar2">
    <w:name w:val="Footer Char"/>
    <w:basedOn w:val="DefaultParagraphFont"/>
    <w:link w:val="BalloonTextChar0"/>
    <w:uiPriority w:val="99"/>
    <w:rsid w:val="009802B1"/>
  </w:style>
  <w:style w:type="paragraph" w:styleId="BalloonTextChar3">
    <w:name w:val="Balloon Text"/>
    <w:basedOn w:val="Normal"/>
    <w:link w:val="BalloonTextChar4"/>
    <w:uiPriority w:val="99"/>
    <w:semiHidden/>
    <w:unhideWhenUsed/>
    <w:rsid w:val="009802B1"/>
    <w:pPr>
      <w:spacing w:after="0" w:line="240" w:lineRule="auto"/>
    </w:pPr>
    <w:rPr>
      <w:rFonts w:ascii="Tahoma" w:hAnsi="Tahoma" w:cs="Tahoma"/>
      <w:sz w:val="16"/>
      <w:szCs w:val="16"/>
    </w:rPr>
  </w:style>
  <w:style w:type="character" w:customStyle="1" w:styleId="BalloonTextChar4">
    <w:name w:val="Balloon Text Char"/>
    <w:basedOn w:val="DefaultParagraphFont"/>
    <w:link w:val="BalloonTextChar3"/>
    <w:uiPriority w:val="99"/>
    <w:semiHidden/>
    <w:rsid w:val="009802B1"/>
    <w:rPr>
      <w:rFonts w:ascii="Tahoma" w:hAnsi="Tahoma" w:cs="Tahoma"/>
      <w:sz w:val="16"/>
      <w:szCs w:val="16"/>
    </w:rPr>
  </w:style>
  <w:style w:type="character" w:styleId="BalloonTextChar5">
    <w:name w:val="Hyperlink"/>
    <w:uiPriority w:val="99"/>
    <w:unhideWhenUsed/>
    <w:rsid w:val="00310150"/>
    <w:rPr>
      <w:color w:val="0000FF"/>
      <w:u w:val="single"/>
    </w:rPr>
  </w:style>
  <w:style w:type="paragraph" w:styleId="BalloonTextChar6">
    <w:name w:val="List Paragraph"/>
    <w:basedOn w:val="Normal"/>
    <w:uiPriority w:val="34"/>
    <w:qFormat/>
    <w:rsid w:val="003C163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yaccount.maestroconference.com/conference/register/AWKOSX4JMVFRNWPW"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4011</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Turnipseed, Amy (DHCS-IHO)</dc:creator>
  <cp:lastModifiedBy>Sarah Arnquist</cp:lastModifiedBy>
  <cp:revision>4</cp:revision>
  <dcterms:created xsi:type="dcterms:W3CDTF">2012-06-11T23:51:00Z</dcterms:created>
  <dcterms:modified xsi:type="dcterms:W3CDTF">2012-06-13T16:54:00Z</dcterms:modified>
</cp:coreProperties>
</file>