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5C79" w14:textId="30F0E3FB" w:rsidR="00EC62BF" w:rsidRDefault="00EC62BF" w:rsidP="00EC62BF">
      <w:pPr>
        <w:jc w:val="center"/>
        <w:rPr>
          <w:b/>
        </w:rPr>
      </w:pPr>
      <w:r>
        <w:rPr>
          <w:b/>
        </w:rPr>
        <w:t xml:space="preserve">DRAFT </w:t>
      </w:r>
      <w:r w:rsidRPr="00CE0816">
        <w:rPr>
          <w:b/>
        </w:rPr>
        <w:t>Cal MediConnect Quarterly Plan Reporting Data Requirements</w:t>
      </w:r>
    </w:p>
    <w:p w14:paraId="026DA178" w14:textId="50A3E49A" w:rsidR="00EC62BF" w:rsidRDefault="00EC62BF" w:rsidP="00EC62BF">
      <w:r>
        <w:t xml:space="preserve">The Department of Health Care Services (DHCS) plans to begin collecting data from plans on Community-based Adult Services (CBAS), In-home Supportive Services (IHSS), Multipurpose Senior Services Program (MSSP), </w:t>
      </w:r>
      <w:r>
        <w:t>Long-term Care Facility (LTC)</w:t>
      </w:r>
      <w:r>
        <w:t xml:space="preserve">, and </w:t>
      </w:r>
      <w:r>
        <w:t>Care Plan Options (CPO)</w:t>
      </w:r>
      <w:r>
        <w:t xml:space="preserve"> assessments, referrals, approvals, and denials. Specifically, DHCS will require the plans submit the following numbers to DHCS on a quarterly basis: </w:t>
      </w:r>
    </w:p>
    <w:p w14:paraId="3A85C169" w14:textId="77777777" w:rsidR="00EC62BF" w:rsidRPr="00EC62BF" w:rsidRDefault="00EC62BF" w:rsidP="00EC62BF">
      <w:pPr>
        <w:rPr>
          <w:sz w:val="16"/>
        </w:rPr>
      </w:pPr>
      <w:bookmarkStart w:id="0" w:name="_GoBack"/>
      <w:bookmarkEnd w:id="0"/>
    </w:p>
    <w:p w14:paraId="42D82C4B" w14:textId="0818C2B4" w:rsidR="00EC62BF" w:rsidRPr="00EC62BF" w:rsidRDefault="00EC62BF" w:rsidP="00EC62BF">
      <w:pPr>
        <w:rPr>
          <w:b/>
          <w:u w:val="single"/>
        </w:rPr>
      </w:pPr>
      <w:r w:rsidRPr="00EC62BF">
        <w:rPr>
          <w:b/>
          <w:u w:val="single"/>
        </w:rPr>
        <w:t>CBAS</w:t>
      </w:r>
    </w:p>
    <w:p w14:paraId="7A281FD2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receiving CBAS on the first day of the reporting quarter</w:t>
      </w:r>
    </w:p>
    <w:p w14:paraId="7059C5AE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receiving referrals for CBAS</w:t>
      </w:r>
    </w:p>
    <w:p w14:paraId="3F0190EF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 xml:space="preserve">Members initially assessed for CBAS </w:t>
      </w:r>
    </w:p>
    <w:p w14:paraId="3A21E9E1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approved for CBAS following assessment</w:t>
      </w:r>
    </w:p>
    <w:p w14:paraId="42163A66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reassessed for CBAS</w:t>
      </w:r>
    </w:p>
    <w:p w14:paraId="69CB36D7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reapproved for CBAS</w:t>
      </w:r>
    </w:p>
    <w:p w14:paraId="3403C380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Total members receiving CBAS in the quarter</w:t>
      </w:r>
    </w:p>
    <w:p w14:paraId="0F6FE6D6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 xml:space="preserve">Members denied for CBAS because: </w:t>
      </w:r>
    </w:p>
    <w:p w14:paraId="52F75158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CBAS not medically necessary</w:t>
      </w:r>
    </w:p>
    <w:p w14:paraId="74F8803F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Incomplete assessment</w:t>
      </w:r>
    </w:p>
    <w:p w14:paraId="7C5CE493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Member refused service</w:t>
      </w:r>
    </w:p>
    <w:p w14:paraId="12B9C6A1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Member transitioned to other program or setting</w:t>
      </w:r>
    </w:p>
    <w:p w14:paraId="7C05BF43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Other reason</w:t>
      </w:r>
    </w:p>
    <w:p w14:paraId="03877710" w14:textId="77777777" w:rsidR="00EC62BF" w:rsidRPr="00EC62BF" w:rsidRDefault="00EC62BF" w:rsidP="00EC62BF">
      <w:pPr>
        <w:rPr>
          <w:b/>
          <w:u w:val="single"/>
        </w:rPr>
      </w:pPr>
      <w:r w:rsidRPr="00EC62BF">
        <w:rPr>
          <w:b/>
          <w:u w:val="single"/>
        </w:rPr>
        <w:t>IHSS</w:t>
      </w:r>
    </w:p>
    <w:p w14:paraId="7EEF4EE4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ICTs with County social worker participation</w:t>
      </w:r>
    </w:p>
    <w:p w14:paraId="3DB275DE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ICTS with prior plan trained County social worker participation</w:t>
      </w:r>
    </w:p>
    <w:p w14:paraId="02609500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referred to County IHSS</w:t>
      </w:r>
    </w:p>
    <w:p w14:paraId="4E40E230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referred to County for IHSS reassessment</w:t>
      </w:r>
    </w:p>
    <w:p w14:paraId="2A322654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Hours changed as result of reassessment</w:t>
      </w:r>
    </w:p>
    <w:p w14:paraId="60F53BA8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Hours increased</w:t>
      </w:r>
    </w:p>
    <w:p w14:paraId="3AFE7F63" w14:textId="77777777" w:rsidR="00EC62BF" w:rsidRPr="005D6423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Hours d</w:t>
      </w:r>
      <w:r w:rsidRPr="005D6423">
        <w:t>ecreased</w:t>
      </w:r>
    </w:p>
    <w:p w14:paraId="5069CD42" w14:textId="77777777" w:rsidR="00EC62BF" w:rsidRPr="005D6423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 w:rsidRPr="005D6423">
        <w:t>Members</w:t>
      </w:r>
      <w:r>
        <w:t xml:space="preserve"> currently</w:t>
      </w:r>
      <w:r w:rsidRPr="005D6423">
        <w:t xml:space="preserve"> receiving IHSS a</w:t>
      </w:r>
      <w:r>
        <w:t>s of the last day of reporting quarter</w:t>
      </w:r>
    </w:p>
    <w:p w14:paraId="2BF3806B" w14:textId="1A760313" w:rsidR="00EC62BF" w:rsidRP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Total m</w:t>
      </w:r>
      <w:r w:rsidRPr="005D6423">
        <w:t>ember referrals received from IHSS</w:t>
      </w:r>
    </w:p>
    <w:p w14:paraId="08AA1A9F" w14:textId="45676DFE" w:rsidR="00EC62BF" w:rsidRPr="00EC62BF" w:rsidRDefault="00EC62BF" w:rsidP="00EC62BF">
      <w:pPr>
        <w:rPr>
          <w:b/>
          <w:u w:val="single"/>
        </w:rPr>
      </w:pPr>
      <w:r w:rsidRPr="00EC62BF">
        <w:rPr>
          <w:b/>
          <w:u w:val="single"/>
        </w:rPr>
        <w:t>MSSP</w:t>
      </w:r>
    </w:p>
    <w:p w14:paraId="00CC0993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Total ICTs with MSSP Care Manager Participation</w:t>
      </w:r>
    </w:p>
    <w:p w14:paraId="2E980EA4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currently receiving MSSP as of the 1</w:t>
      </w:r>
      <w:r w:rsidRPr="00EF4D22">
        <w:rPr>
          <w:vertAlign w:val="superscript"/>
        </w:rPr>
        <w:t>st</w:t>
      </w:r>
      <w:r>
        <w:t xml:space="preserve"> day of the reporting quarter</w:t>
      </w:r>
    </w:p>
    <w:p w14:paraId="4D24197F" w14:textId="6AC86B5E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 referrals made for MSSP</w:t>
      </w:r>
    </w:p>
    <w:p w14:paraId="7CF2F716" w14:textId="77777777" w:rsidR="00EC62BF" w:rsidRPr="00EC62BF" w:rsidRDefault="00EC62BF" w:rsidP="00EC62BF">
      <w:pPr>
        <w:rPr>
          <w:b/>
          <w:u w:val="single"/>
        </w:rPr>
      </w:pPr>
      <w:r w:rsidRPr="00EC62BF">
        <w:rPr>
          <w:b/>
          <w:u w:val="single"/>
        </w:rPr>
        <w:t>LTC</w:t>
      </w:r>
    </w:p>
    <w:p w14:paraId="0FFDF657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currently residing in LTC facilities longer than 90 days as of the first day of the reporting quarter</w:t>
      </w:r>
    </w:p>
    <w:p w14:paraId="1CE01816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 referrals made for LTC stays longer than 90 days</w:t>
      </w:r>
    </w:p>
    <w:p w14:paraId="5C08CB79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initially assessed for LTC stays longer than 90 days</w:t>
      </w:r>
    </w:p>
    <w:p w14:paraId="5872C5BC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lastRenderedPageBreak/>
        <w:t>Members initially approved for LTC stays longer than 90 days</w:t>
      </w:r>
    </w:p>
    <w:p w14:paraId="4618A2E6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reassessed for LTC stays longer than 90 days</w:t>
      </w:r>
    </w:p>
    <w:p w14:paraId="3A2E3715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reapproved for LTC stays longer than 90 days</w:t>
      </w:r>
    </w:p>
    <w:p w14:paraId="1A03FF31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Total members receiving LTC stays longer than 90 days in quarter</w:t>
      </w:r>
    </w:p>
    <w:p w14:paraId="2661B71F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denied for LTC stays longer than 90 days because:</w:t>
      </w:r>
    </w:p>
    <w:p w14:paraId="0DBADC35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LTC was not medically necessary</w:t>
      </w:r>
    </w:p>
    <w:p w14:paraId="549E9CB8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Incomplete assessment</w:t>
      </w:r>
    </w:p>
    <w:p w14:paraId="63EF12E9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Member refused service</w:t>
      </w:r>
    </w:p>
    <w:p w14:paraId="65B56D34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Member transitioned to other program or setting</w:t>
      </w:r>
    </w:p>
    <w:p w14:paraId="236A4F68" w14:textId="119EE108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Other reason</w:t>
      </w:r>
    </w:p>
    <w:p w14:paraId="4075173B" w14:textId="77777777" w:rsidR="00EC62BF" w:rsidRPr="00EC62BF" w:rsidRDefault="00EC62BF" w:rsidP="00EC62BF">
      <w:pPr>
        <w:rPr>
          <w:b/>
          <w:u w:val="single"/>
        </w:rPr>
      </w:pPr>
      <w:r w:rsidRPr="00EC62BF">
        <w:rPr>
          <w:b/>
          <w:u w:val="single"/>
        </w:rPr>
        <w:t>CPO</w:t>
      </w:r>
    </w:p>
    <w:p w14:paraId="67091317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receiving CPO as of 1</w:t>
      </w:r>
      <w:r w:rsidRPr="00EF4D22">
        <w:rPr>
          <w:vertAlign w:val="superscript"/>
        </w:rPr>
        <w:t>st</w:t>
      </w:r>
      <w:r>
        <w:t xml:space="preserve"> day of quarterly reporting</w:t>
      </w:r>
    </w:p>
    <w:p w14:paraId="622E3F55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 referrals made for CPO</w:t>
      </w:r>
    </w:p>
    <w:p w14:paraId="234081E3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initially assessed for CPO</w:t>
      </w:r>
    </w:p>
    <w:p w14:paraId="7CC3AB6A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initially approved for CPO</w:t>
      </w:r>
    </w:p>
    <w:p w14:paraId="79940C6C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reassessed or CPO</w:t>
      </w:r>
    </w:p>
    <w:p w14:paraId="3FAD8272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reapproved for CPO</w:t>
      </w:r>
    </w:p>
    <w:p w14:paraId="7E7228F3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Total members receiving CPO in quarter</w:t>
      </w:r>
    </w:p>
    <w:p w14:paraId="7C99F4CD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Members denied for CPO because:</w:t>
      </w:r>
    </w:p>
    <w:p w14:paraId="3951467F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CPO not medically necessary</w:t>
      </w:r>
    </w:p>
    <w:p w14:paraId="7E0A50DF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Incomplete assessment</w:t>
      </w:r>
    </w:p>
    <w:p w14:paraId="6CCD79F0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Member refused service</w:t>
      </w:r>
    </w:p>
    <w:p w14:paraId="21CBE101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Member transitioned to other program or setting</w:t>
      </w:r>
    </w:p>
    <w:p w14:paraId="25839DBC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Other reason</w:t>
      </w:r>
    </w:p>
    <w:p w14:paraId="4546FBE1" w14:textId="77777777" w:rsidR="00EC62BF" w:rsidRDefault="00EC62BF" w:rsidP="00EC62BF">
      <w:pPr>
        <w:pStyle w:val="ListParagraph"/>
        <w:numPr>
          <w:ilvl w:val="0"/>
          <w:numId w:val="17"/>
        </w:numPr>
        <w:spacing w:before="0" w:after="0" w:line="259" w:lineRule="auto"/>
      </w:pPr>
      <w:r>
        <w:t>Types of CPO Authorized:</w:t>
      </w:r>
    </w:p>
    <w:p w14:paraId="4F39C49F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Personal care (in addition to IHSS)</w:t>
      </w:r>
    </w:p>
    <w:p w14:paraId="7638F873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Respite</w:t>
      </w:r>
    </w:p>
    <w:p w14:paraId="02A05B2D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Care planning and management (Benefit similar to MSSP)</w:t>
      </w:r>
    </w:p>
    <w:p w14:paraId="5CD68983" w14:textId="77777777" w:rsidR="00EC62BF" w:rsidRDefault="00EC62BF" w:rsidP="00EC62BF">
      <w:pPr>
        <w:pStyle w:val="ListParagraph"/>
        <w:numPr>
          <w:ilvl w:val="1"/>
          <w:numId w:val="17"/>
        </w:numPr>
        <w:spacing w:before="0" w:after="0" w:line="259" w:lineRule="auto"/>
      </w:pPr>
      <w:r>
        <w:t>Other</w:t>
      </w:r>
    </w:p>
    <w:p w14:paraId="2D666154" w14:textId="77777777" w:rsidR="00EC62BF" w:rsidRDefault="00EC62BF" w:rsidP="00EC62BF">
      <w:pPr>
        <w:pStyle w:val="ListParagraph"/>
        <w:ind w:left="2160"/>
      </w:pPr>
    </w:p>
    <w:p w14:paraId="7289CD6D" w14:textId="77777777" w:rsidR="00E008F7" w:rsidRPr="00A9718B" w:rsidRDefault="00E008F7" w:rsidP="00E008F7">
      <w:pPr>
        <w:rPr>
          <w:szCs w:val="24"/>
          <w:lang w:val="x-none" w:eastAsia="x-none"/>
        </w:rPr>
      </w:pPr>
    </w:p>
    <w:sectPr w:rsidR="00E008F7" w:rsidRPr="00A9718B" w:rsidSect="00CA1E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864" w:left="864" w:header="50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D495B" w14:textId="77777777" w:rsidR="005944A4" w:rsidRDefault="005944A4" w:rsidP="003317F7">
      <w:pPr>
        <w:spacing w:after="0"/>
      </w:pPr>
      <w:r>
        <w:separator/>
      </w:r>
    </w:p>
  </w:endnote>
  <w:endnote w:type="continuationSeparator" w:id="0">
    <w:p w14:paraId="7F0C96A6" w14:textId="77777777" w:rsidR="005944A4" w:rsidRDefault="005944A4" w:rsidP="00331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B9AC" w14:textId="77777777" w:rsidR="002C7F18" w:rsidRDefault="002C7F18" w:rsidP="00331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1CF1B" w14:textId="77777777" w:rsidR="002C7F18" w:rsidRDefault="002C7F18" w:rsidP="003317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FD1E" w14:textId="58B96196" w:rsidR="002C7F18" w:rsidRPr="004949B0" w:rsidRDefault="002C7F18" w:rsidP="003317F7">
    <w:pPr>
      <w:pStyle w:val="Footer"/>
      <w:framePr w:w="366" w:wrap="around" w:vAnchor="text" w:hAnchor="margin" w:xAlign="right" w:y="-42"/>
      <w:rPr>
        <w:rStyle w:val="PageNumber"/>
      </w:rPr>
    </w:pPr>
    <w:r w:rsidRPr="004949B0">
      <w:rPr>
        <w:rStyle w:val="PageNumber"/>
      </w:rPr>
      <w:fldChar w:fldCharType="begin"/>
    </w:r>
    <w:r w:rsidRPr="004949B0">
      <w:rPr>
        <w:rStyle w:val="PageNumber"/>
      </w:rPr>
      <w:instrText xml:space="preserve">PAGE  </w:instrText>
    </w:r>
    <w:r w:rsidRPr="004949B0">
      <w:rPr>
        <w:rStyle w:val="PageNumber"/>
      </w:rPr>
      <w:fldChar w:fldCharType="separate"/>
    </w:r>
    <w:r w:rsidR="00EC62BF">
      <w:rPr>
        <w:rStyle w:val="PageNumber"/>
        <w:noProof/>
      </w:rPr>
      <w:t>2</w:t>
    </w:r>
    <w:r w:rsidRPr="004949B0">
      <w:rPr>
        <w:rStyle w:val="PageNumber"/>
      </w:rPr>
      <w:fldChar w:fldCharType="end"/>
    </w:r>
  </w:p>
  <w:p w14:paraId="6ACA3D8A" w14:textId="77777777" w:rsidR="002C7F18" w:rsidRPr="00F859F9" w:rsidRDefault="002C7F18" w:rsidP="003317F7">
    <w:pPr>
      <w:pStyle w:val="Footer"/>
      <w:ind w:right="360"/>
      <w:rPr>
        <w:color w:val="365F91"/>
      </w:rPr>
    </w:pPr>
    <w:r>
      <w:rPr>
        <w:noProof/>
        <w:color w:val="365F91"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0823FA6" wp14:editId="7FD09FC3">
              <wp:simplePos x="0" y="0"/>
              <wp:positionH relativeFrom="margin">
                <wp:posOffset>-148590</wp:posOffset>
              </wp:positionH>
              <wp:positionV relativeFrom="paragraph">
                <wp:posOffset>-156210</wp:posOffset>
              </wp:positionV>
              <wp:extent cx="6400800" cy="0"/>
              <wp:effectExtent l="19050" t="11430" r="19050" b="266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7590F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7pt,-12.3pt" to="492.3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" strokecolor="#4a7ebb">
              <v:shadow color="black" opacity="22938f" offset="0,.74833mm"/>
              <w10:wrap anchorx="margin"/>
            </v:line>
          </w:pict>
        </mc:Fallback>
      </mc:AlternateContent>
    </w:r>
    <w:r w:rsidRPr="00F859F9">
      <w:rPr>
        <w:color w:val="365F91"/>
      </w:rPr>
      <w:t xml:space="preserve">Learn more at </w:t>
    </w:r>
    <w:hyperlink r:id="rId1" w:history="1">
      <w:r w:rsidRPr="00F859F9">
        <w:rPr>
          <w:rStyle w:val="Hyperlink"/>
        </w:rPr>
        <w:t>www.CalDuals.org</w:t>
      </w:r>
    </w:hyperlink>
    <w:r w:rsidRPr="00F859F9">
      <w:rPr>
        <w:color w:val="365F9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F9FE" w14:textId="2F7F7748" w:rsidR="002C7F18" w:rsidRPr="00F859F9" w:rsidRDefault="002C7F18" w:rsidP="003317F7">
    <w:pPr>
      <w:pStyle w:val="Footer"/>
      <w:ind w:right="360"/>
      <w:rPr>
        <w:color w:val="365F91"/>
      </w:rPr>
    </w:pPr>
    <w:r>
      <w:rPr>
        <w:noProof/>
        <w:color w:val="365F91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E11D1F" wp14:editId="4826F631">
              <wp:simplePos x="0" y="0"/>
              <wp:positionH relativeFrom="margin">
                <wp:posOffset>-142240</wp:posOffset>
              </wp:positionH>
              <wp:positionV relativeFrom="paragraph">
                <wp:posOffset>78740</wp:posOffset>
              </wp:positionV>
              <wp:extent cx="6400800" cy="0"/>
              <wp:effectExtent l="12700" t="17780" r="25400" b="2032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15958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2pt,6.2pt" to="492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" strokecolor="#4a7ebb">
              <v:shadow color="black" opacity="22938f" offset="0,.74833mm"/>
              <w10:wrap anchorx="margin"/>
            </v:line>
          </w:pict>
        </mc:Fallback>
      </mc:AlternateContent>
    </w:r>
    <w:r w:rsidRPr="00F859F9">
      <w:rPr>
        <w:color w:val="365F91"/>
      </w:rPr>
      <w:t xml:space="preserve">Learn more at </w:t>
    </w:r>
    <w:hyperlink r:id="rId1" w:history="1">
      <w:r w:rsidRPr="00F859F9">
        <w:rPr>
          <w:rStyle w:val="Hyperlink"/>
        </w:rPr>
        <w:t>www.CalDuals.org</w:t>
      </w:r>
    </w:hyperlink>
    <w:r w:rsidRPr="00F859F9">
      <w:rPr>
        <w:color w:val="365F91"/>
      </w:rPr>
      <w:tab/>
    </w:r>
    <w:r w:rsidRPr="00F859F9">
      <w:rPr>
        <w:color w:val="365F91"/>
      </w:rPr>
      <w:tab/>
    </w:r>
    <w:r w:rsidRPr="00F859F9">
      <w:rPr>
        <w:rStyle w:val="PageNumber"/>
      </w:rPr>
      <w:fldChar w:fldCharType="begin"/>
    </w:r>
    <w:r w:rsidRPr="00F859F9">
      <w:rPr>
        <w:rStyle w:val="PageNumber"/>
      </w:rPr>
      <w:instrText xml:space="preserve"> PAGE </w:instrText>
    </w:r>
    <w:r w:rsidRPr="00F859F9">
      <w:rPr>
        <w:rStyle w:val="PageNumber"/>
      </w:rPr>
      <w:fldChar w:fldCharType="separate"/>
    </w:r>
    <w:r w:rsidR="00EC62BF">
      <w:rPr>
        <w:rStyle w:val="PageNumber"/>
        <w:noProof/>
      </w:rPr>
      <w:t>1</w:t>
    </w:r>
    <w:r w:rsidRPr="00F859F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8A07C" w14:textId="77777777" w:rsidR="005944A4" w:rsidRDefault="005944A4" w:rsidP="003317F7">
      <w:pPr>
        <w:spacing w:after="0"/>
      </w:pPr>
      <w:r>
        <w:separator/>
      </w:r>
    </w:p>
  </w:footnote>
  <w:footnote w:type="continuationSeparator" w:id="0">
    <w:p w14:paraId="09E3F312" w14:textId="77777777" w:rsidR="005944A4" w:rsidRDefault="005944A4" w:rsidP="003317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F05AD" w14:textId="2D4CC2C7" w:rsidR="002C7F18" w:rsidRPr="00F859F9" w:rsidRDefault="002C7F18" w:rsidP="00EE601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70556" wp14:editId="31C4A888">
              <wp:simplePos x="0" y="0"/>
              <wp:positionH relativeFrom="margin">
                <wp:posOffset>-146050</wp:posOffset>
              </wp:positionH>
              <wp:positionV relativeFrom="paragraph">
                <wp:posOffset>398780</wp:posOffset>
              </wp:positionV>
              <wp:extent cx="6400800" cy="0"/>
              <wp:effectExtent l="8890" t="7620" r="29210" b="30480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6" y="-2147483648"/>
                  <wp:lineTo x="21666" y="-2147483648"/>
                  <wp:lineTo x="-32" y="-2147483648"/>
                </wp:wrapPolygon>
              </wp:wrapTight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964A5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5pt,31.4pt" to="492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" strokecolor="#4a7ebb">
              <v:shadow color="black" opacity="22938f" offset="0,.74833mm"/>
              <w10:wrap type="tight"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898B" w14:textId="72ECDD17" w:rsidR="002C7F18" w:rsidRPr="009836F9" w:rsidRDefault="002C7F18" w:rsidP="003317F7">
    <w:pPr>
      <w:spacing w:after="0"/>
      <w:jc w:val="center"/>
      <w:rPr>
        <w:rFonts w:ascii="Arial Narrow" w:hAnsi="Arial Narrow" w:cs="Arial"/>
        <w:color w:val="000000"/>
        <w:sz w:val="32"/>
        <w:szCs w:val="28"/>
      </w:rPr>
    </w:pPr>
    <w:r>
      <w:rPr>
        <w:rFonts w:ascii="Arial Narrow" w:hAnsi="Arial Narrow" w:cs="Arial"/>
        <w:noProof/>
        <w:color w:val="000000"/>
        <w:sz w:val="32"/>
        <w:szCs w:val="28"/>
      </w:rPr>
      <w:drawing>
        <wp:anchor distT="0" distB="0" distL="114300" distR="114300" simplePos="0" relativeHeight="251657728" behindDoc="0" locked="0" layoutInCell="1" allowOverlap="1" wp14:anchorId="3FDFBA2C" wp14:editId="04F60C4C">
          <wp:simplePos x="0" y="0"/>
          <wp:positionH relativeFrom="margin">
            <wp:align>right</wp:align>
          </wp:positionH>
          <wp:positionV relativeFrom="paragraph">
            <wp:posOffset>107315</wp:posOffset>
          </wp:positionV>
          <wp:extent cx="1043305" cy="647065"/>
          <wp:effectExtent l="0" t="0" r="0" b="0"/>
          <wp:wrapTight wrapText="bothSides">
            <wp:wrapPolygon edited="0">
              <wp:start x="0" y="0"/>
              <wp:lineTo x="0" y="20349"/>
              <wp:lineTo x="21035" y="20349"/>
              <wp:lineTo x="21035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color w:val="000000"/>
        <w:sz w:val="32"/>
        <w:szCs w:val="28"/>
      </w:rPr>
      <w:drawing>
        <wp:anchor distT="0" distB="0" distL="114300" distR="114300" simplePos="0" relativeHeight="251656704" behindDoc="0" locked="0" layoutInCell="1" allowOverlap="1" wp14:anchorId="6E42642C" wp14:editId="0409DE67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818515" cy="773430"/>
          <wp:effectExtent l="0" t="0" r="0" b="0"/>
          <wp:wrapNone/>
          <wp:docPr id="17" name="Picture 4" descr="logo_DHCS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HCS_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36F9">
      <w:rPr>
        <w:rFonts w:ascii="Arial Narrow" w:hAnsi="Arial Narrow" w:cs="Arial"/>
        <w:color w:val="000000"/>
        <w:sz w:val="32"/>
        <w:szCs w:val="28"/>
      </w:rPr>
      <w:t>State of California</w:t>
    </w:r>
  </w:p>
  <w:p w14:paraId="419760C1" w14:textId="77777777" w:rsidR="002C7F18" w:rsidRPr="009836F9" w:rsidRDefault="002C7F18" w:rsidP="003317F7">
    <w:pPr>
      <w:tabs>
        <w:tab w:val="left" w:pos="823"/>
        <w:tab w:val="center" w:pos="5645"/>
        <w:tab w:val="center" w:pos="5760"/>
        <w:tab w:val="right" w:pos="10800"/>
      </w:tabs>
      <w:spacing w:after="0"/>
      <w:jc w:val="center"/>
      <w:rPr>
        <w:rFonts w:ascii="Arial Narrow" w:hAnsi="Arial Narrow" w:cs="Arial"/>
        <w:color w:val="000000"/>
        <w:sz w:val="40"/>
        <w:szCs w:val="24"/>
      </w:rPr>
    </w:pPr>
    <w:r w:rsidRPr="009836F9">
      <w:rPr>
        <w:rFonts w:ascii="Arial Narrow" w:hAnsi="Arial Narrow" w:cs="Arial"/>
        <w:color w:val="000000"/>
        <w:sz w:val="40"/>
        <w:szCs w:val="24"/>
      </w:rPr>
      <w:t>Department of Health Care Services</w:t>
    </w:r>
  </w:p>
  <w:p w14:paraId="67679BFC" w14:textId="77777777" w:rsidR="002C7F18" w:rsidRDefault="002C7F1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A5D6FC" wp14:editId="3A35328D">
              <wp:simplePos x="0" y="0"/>
              <wp:positionH relativeFrom="margin">
                <wp:align>center</wp:align>
              </wp:positionH>
              <wp:positionV relativeFrom="paragraph">
                <wp:posOffset>161290</wp:posOffset>
              </wp:positionV>
              <wp:extent cx="6400800" cy="0"/>
              <wp:effectExtent l="0" t="0" r="25400" b="2540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7F1CC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7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" strokecolor="#4a7ebb">
              <v:shadow color="black" opacity="22938f" offset="0,.74833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A26"/>
    <w:multiLevelType w:val="hybridMultilevel"/>
    <w:tmpl w:val="43101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1E91"/>
    <w:multiLevelType w:val="hybridMultilevel"/>
    <w:tmpl w:val="B6F6A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1CC"/>
    <w:multiLevelType w:val="hybridMultilevel"/>
    <w:tmpl w:val="CDBC5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26A4"/>
    <w:multiLevelType w:val="hybridMultilevel"/>
    <w:tmpl w:val="319A31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C45"/>
    <w:multiLevelType w:val="hybridMultilevel"/>
    <w:tmpl w:val="92EC02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728C7"/>
    <w:multiLevelType w:val="hybridMultilevel"/>
    <w:tmpl w:val="34340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4DA0"/>
    <w:multiLevelType w:val="hybridMultilevel"/>
    <w:tmpl w:val="6D665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1F34"/>
    <w:multiLevelType w:val="hybridMultilevel"/>
    <w:tmpl w:val="6B2AC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7D62"/>
    <w:multiLevelType w:val="hybridMultilevel"/>
    <w:tmpl w:val="BE7AE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D01E6"/>
    <w:multiLevelType w:val="hybridMultilevel"/>
    <w:tmpl w:val="F2F092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F16B81"/>
    <w:multiLevelType w:val="hybridMultilevel"/>
    <w:tmpl w:val="EDE29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23912"/>
    <w:multiLevelType w:val="hybridMultilevel"/>
    <w:tmpl w:val="5A5CE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147B"/>
    <w:multiLevelType w:val="hybridMultilevel"/>
    <w:tmpl w:val="DBFAC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31D06"/>
    <w:multiLevelType w:val="hybridMultilevel"/>
    <w:tmpl w:val="973A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7493B"/>
    <w:multiLevelType w:val="hybridMultilevel"/>
    <w:tmpl w:val="EF788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866FC"/>
    <w:multiLevelType w:val="hybridMultilevel"/>
    <w:tmpl w:val="1DA81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72E75"/>
    <w:multiLevelType w:val="hybridMultilevel"/>
    <w:tmpl w:val="D5FCE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16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C"/>
    <w:rsid w:val="00015E94"/>
    <w:rsid w:val="00016FEB"/>
    <w:rsid w:val="00022759"/>
    <w:rsid w:val="00026A83"/>
    <w:rsid w:val="00041640"/>
    <w:rsid w:val="000429D7"/>
    <w:rsid w:val="00044A1C"/>
    <w:rsid w:val="000462AE"/>
    <w:rsid w:val="00050CEB"/>
    <w:rsid w:val="00056070"/>
    <w:rsid w:val="00061B26"/>
    <w:rsid w:val="00070D11"/>
    <w:rsid w:val="000A2F49"/>
    <w:rsid w:val="000B4D01"/>
    <w:rsid w:val="000C1C12"/>
    <w:rsid w:val="000C3224"/>
    <w:rsid w:val="000C33F2"/>
    <w:rsid w:val="000C35E2"/>
    <w:rsid w:val="000D667C"/>
    <w:rsid w:val="000E031D"/>
    <w:rsid w:val="000E2D84"/>
    <w:rsid w:val="000F791B"/>
    <w:rsid w:val="00103D7F"/>
    <w:rsid w:val="00106F37"/>
    <w:rsid w:val="00107BF2"/>
    <w:rsid w:val="00110A97"/>
    <w:rsid w:val="00124DE8"/>
    <w:rsid w:val="00126668"/>
    <w:rsid w:val="0014233B"/>
    <w:rsid w:val="00142E9B"/>
    <w:rsid w:val="00153CCC"/>
    <w:rsid w:val="0015473B"/>
    <w:rsid w:val="00160FB4"/>
    <w:rsid w:val="00171D78"/>
    <w:rsid w:val="001772C9"/>
    <w:rsid w:val="001775A5"/>
    <w:rsid w:val="00180693"/>
    <w:rsid w:val="0018693D"/>
    <w:rsid w:val="00197ABE"/>
    <w:rsid w:val="001A0167"/>
    <w:rsid w:val="001A574B"/>
    <w:rsid w:val="001B05D6"/>
    <w:rsid w:val="001B3D45"/>
    <w:rsid w:val="001B560E"/>
    <w:rsid w:val="001B6CC4"/>
    <w:rsid w:val="001D179C"/>
    <w:rsid w:val="001D6B3C"/>
    <w:rsid w:val="001E266B"/>
    <w:rsid w:val="001E4D46"/>
    <w:rsid w:val="001E6067"/>
    <w:rsid w:val="001E739D"/>
    <w:rsid w:val="002008CF"/>
    <w:rsid w:val="0020323E"/>
    <w:rsid w:val="0022520A"/>
    <w:rsid w:val="002255F7"/>
    <w:rsid w:val="002347BF"/>
    <w:rsid w:val="0023599C"/>
    <w:rsid w:val="00240F28"/>
    <w:rsid w:val="002521E3"/>
    <w:rsid w:val="002550E9"/>
    <w:rsid w:val="002612B1"/>
    <w:rsid w:val="00262E7A"/>
    <w:rsid w:val="00267690"/>
    <w:rsid w:val="00276C52"/>
    <w:rsid w:val="0027700E"/>
    <w:rsid w:val="00281943"/>
    <w:rsid w:val="00282AD7"/>
    <w:rsid w:val="002833D1"/>
    <w:rsid w:val="00287888"/>
    <w:rsid w:val="0029032E"/>
    <w:rsid w:val="00293949"/>
    <w:rsid w:val="00294C40"/>
    <w:rsid w:val="002A09AA"/>
    <w:rsid w:val="002B323A"/>
    <w:rsid w:val="002C7F18"/>
    <w:rsid w:val="002D374E"/>
    <w:rsid w:val="002D41D2"/>
    <w:rsid w:val="002D5285"/>
    <w:rsid w:val="002E0B2F"/>
    <w:rsid w:val="002F166D"/>
    <w:rsid w:val="002F6A5F"/>
    <w:rsid w:val="003125AD"/>
    <w:rsid w:val="0031376B"/>
    <w:rsid w:val="00317974"/>
    <w:rsid w:val="00324F94"/>
    <w:rsid w:val="0032732A"/>
    <w:rsid w:val="003317F7"/>
    <w:rsid w:val="003459C0"/>
    <w:rsid w:val="003610DD"/>
    <w:rsid w:val="0038365D"/>
    <w:rsid w:val="00393EB1"/>
    <w:rsid w:val="003A4237"/>
    <w:rsid w:val="003A4E3D"/>
    <w:rsid w:val="003B0426"/>
    <w:rsid w:val="003B765E"/>
    <w:rsid w:val="003C4666"/>
    <w:rsid w:val="003C6ECF"/>
    <w:rsid w:val="003D774F"/>
    <w:rsid w:val="003E0690"/>
    <w:rsid w:val="003E6DDF"/>
    <w:rsid w:val="003F1FEE"/>
    <w:rsid w:val="003F6892"/>
    <w:rsid w:val="00417EEA"/>
    <w:rsid w:val="00422A0B"/>
    <w:rsid w:val="0043065D"/>
    <w:rsid w:val="00430DFB"/>
    <w:rsid w:val="00465E87"/>
    <w:rsid w:val="004779CF"/>
    <w:rsid w:val="0048286B"/>
    <w:rsid w:val="00491CDE"/>
    <w:rsid w:val="00492732"/>
    <w:rsid w:val="004936A6"/>
    <w:rsid w:val="0049608E"/>
    <w:rsid w:val="004A24FD"/>
    <w:rsid w:val="004B56D9"/>
    <w:rsid w:val="004B5D0E"/>
    <w:rsid w:val="004C24E8"/>
    <w:rsid w:val="004C5A28"/>
    <w:rsid w:val="004D13C0"/>
    <w:rsid w:val="00500B71"/>
    <w:rsid w:val="0050153F"/>
    <w:rsid w:val="0050682A"/>
    <w:rsid w:val="005219D8"/>
    <w:rsid w:val="00542379"/>
    <w:rsid w:val="005522D0"/>
    <w:rsid w:val="00554FEE"/>
    <w:rsid w:val="005571D9"/>
    <w:rsid w:val="005636EF"/>
    <w:rsid w:val="0057159D"/>
    <w:rsid w:val="005944A4"/>
    <w:rsid w:val="00596BEC"/>
    <w:rsid w:val="005A15A6"/>
    <w:rsid w:val="005A7C37"/>
    <w:rsid w:val="005B1B12"/>
    <w:rsid w:val="005D2F71"/>
    <w:rsid w:val="005D46B2"/>
    <w:rsid w:val="005D5B9C"/>
    <w:rsid w:val="005D628D"/>
    <w:rsid w:val="005E49CC"/>
    <w:rsid w:val="005E4BF8"/>
    <w:rsid w:val="005E601C"/>
    <w:rsid w:val="005F3455"/>
    <w:rsid w:val="005F7594"/>
    <w:rsid w:val="00601BB6"/>
    <w:rsid w:val="00601FB0"/>
    <w:rsid w:val="00607E7B"/>
    <w:rsid w:val="00613A55"/>
    <w:rsid w:val="00621026"/>
    <w:rsid w:val="00626A31"/>
    <w:rsid w:val="006307D2"/>
    <w:rsid w:val="0064681E"/>
    <w:rsid w:val="00661E49"/>
    <w:rsid w:val="006661CE"/>
    <w:rsid w:val="00670D62"/>
    <w:rsid w:val="00671710"/>
    <w:rsid w:val="006840A6"/>
    <w:rsid w:val="0068688F"/>
    <w:rsid w:val="006A3B22"/>
    <w:rsid w:val="006A5203"/>
    <w:rsid w:val="006A69E5"/>
    <w:rsid w:val="006A7C0F"/>
    <w:rsid w:val="006D1F83"/>
    <w:rsid w:val="006D25B4"/>
    <w:rsid w:val="006E65A8"/>
    <w:rsid w:val="00703A24"/>
    <w:rsid w:val="00715485"/>
    <w:rsid w:val="00717385"/>
    <w:rsid w:val="0073598E"/>
    <w:rsid w:val="007519DD"/>
    <w:rsid w:val="00753881"/>
    <w:rsid w:val="00756168"/>
    <w:rsid w:val="007657D6"/>
    <w:rsid w:val="00770A10"/>
    <w:rsid w:val="0078448F"/>
    <w:rsid w:val="007939AD"/>
    <w:rsid w:val="007944CC"/>
    <w:rsid w:val="007A4CB3"/>
    <w:rsid w:val="007C3413"/>
    <w:rsid w:val="007C5CD5"/>
    <w:rsid w:val="007D1D9D"/>
    <w:rsid w:val="007D33A5"/>
    <w:rsid w:val="007D4E31"/>
    <w:rsid w:val="007E010B"/>
    <w:rsid w:val="007F1FAC"/>
    <w:rsid w:val="007F266F"/>
    <w:rsid w:val="007F4096"/>
    <w:rsid w:val="007F4B2D"/>
    <w:rsid w:val="007F7F3D"/>
    <w:rsid w:val="00801A8E"/>
    <w:rsid w:val="00806085"/>
    <w:rsid w:val="00814AC0"/>
    <w:rsid w:val="00817CC5"/>
    <w:rsid w:val="008208B4"/>
    <w:rsid w:val="0082707E"/>
    <w:rsid w:val="00830915"/>
    <w:rsid w:val="00840AC0"/>
    <w:rsid w:val="00851D0C"/>
    <w:rsid w:val="00852780"/>
    <w:rsid w:val="0086528B"/>
    <w:rsid w:val="00884F58"/>
    <w:rsid w:val="008853D2"/>
    <w:rsid w:val="00886AF1"/>
    <w:rsid w:val="008A1773"/>
    <w:rsid w:val="008A6682"/>
    <w:rsid w:val="008D5E3E"/>
    <w:rsid w:val="008D6E67"/>
    <w:rsid w:val="008E18A2"/>
    <w:rsid w:val="008F34C1"/>
    <w:rsid w:val="008F4437"/>
    <w:rsid w:val="0090429B"/>
    <w:rsid w:val="00910DB4"/>
    <w:rsid w:val="00912A17"/>
    <w:rsid w:val="00913487"/>
    <w:rsid w:val="009137F6"/>
    <w:rsid w:val="00921635"/>
    <w:rsid w:val="0092335D"/>
    <w:rsid w:val="00925BCB"/>
    <w:rsid w:val="0092767A"/>
    <w:rsid w:val="00931B27"/>
    <w:rsid w:val="009326F4"/>
    <w:rsid w:val="009359FD"/>
    <w:rsid w:val="009438C1"/>
    <w:rsid w:val="00951E37"/>
    <w:rsid w:val="00967E84"/>
    <w:rsid w:val="00970F9B"/>
    <w:rsid w:val="00972CCB"/>
    <w:rsid w:val="00973A18"/>
    <w:rsid w:val="00977597"/>
    <w:rsid w:val="00984CB3"/>
    <w:rsid w:val="00984FE5"/>
    <w:rsid w:val="00992105"/>
    <w:rsid w:val="00994047"/>
    <w:rsid w:val="009A72D1"/>
    <w:rsid w:val="009B6F3B"/>
    <w:rsid w:val="009C3B90"/>
    <w:rsid w:val="009C5BB0"/>
    <w:rsid w:val="009D10AA"/>
    <w:rsid w:val="009D2249"/>
    <w:rsid w:val="009D3C7D"/>
    <w:rsid w:val="009D751C"/>
    <w:rsid w:val="009D772A"/>
    <w:rsid w:val="009E6907"/>
    <w:rsid w:val="00A02E8F"/>
    <w:rsid w:val="00A07A49"/>
    <w:rsid w:val="00A30D79"/>
    <w:rsid w:val="00A34D7E"/>
    <w:rsid w:val="00A42394"/>
    <w:rsid w:val="00A47359"/>
    <w:rsid w:val="00A60609"/>
    <w:rsid w:val="00A60689"/>
    <w:rsid w:val="00A66566"/>
    <w:rsid w:val="00A72ADD"/>
    <w:rsid w:val="00A7329A"/>
    <w:rsid w:val="00A764BE"/>
    <w:rsid w:val="00A868FA"/>
    <w:rsid w:val="00A86BC0"/>
    <w:rsid w:val="00A87D75"/>
    <w:rsid w:val="00A946AF"/>
    <w:rsid w:val="00A95434"/>
    <w:rsid w:val="00A95DFE"/>
    <w:rsid w:val="00A9718B"/>
    <w:rsid w:val="00AA4D0C"/>
    <w:rsid w:val="00AB50AC"/>
    <w:rsid w:val="00AD2B79"/>
    <w:rsid w:val="00AE5687"/>
    <w:rsid w:val="00AE6E8A"/>
    <w:rsid w:val="00B006B5"/>
    <w:rsid w:val="00B013BA"/>
    <w:rsid w:val="00B121E7"/>
    <w:rsid w:val="00B204EB"/>
    <w:rsid w:val="00B20D90"/>
    <w:rsid w:val="00B20F91"/>
    <w:rsid w:val="00B22A6C"/>
    <w:rsid w:val="00B22A91"/>
    <w:rsid w:val="00B30F0D"/>
    <w:rsid w:val="00B333BD"/>
    <w:rsid w:val="00B353DC"/>
    <w:rsid w:val="00B5528E"/>
    <w:rsid w:val="00B61F20"/>
    <w:rsid w:val="00B6745A"/>
    <w:rsid w:val="00B71ABE"/>
    <w:rsid w:val="00B825E3"/>
    <w:rsid w:val="00B84333"/>
    <w:rsid w:val="00B84A42"/>
    <w:rsid w:val="00B8668C"/>
    <w:rsid w:val="00B91018"/>
    <w:rsid w:val="00BA1853"/>
    <w:rsid w:val="00BA7516"/>
    <w:rsid w:val="00BB5A68"/>
    <w:rsid w:val="00BC506A"/>
    <w:rsid w:val="00BC7553"/>
    <w:rsid w:val="00BD2A23"/>
    <w:rsid w:val="00BD5765"/>
    <w:rsid w:val="00BE5AC3"/>
    <w:rsid w:val="00BE5F0B"/>
    <w:rsid w:val="00BE75DD"/>
    <w:rsid w:val="00BF026B"/>
    <w:rsid w:val="00BF0C8C"/>
    <w:rsid w:val="00BF5973"/>
    <w:rsid w:val="00C01D08"/>
    <w:rsid w:val="00C01FF0"/>
    <w:rsid w:val="00C05962"/>
    <w:rsid w:val="00C06CA9"/>
    <w:rsid w:val="00C225B3"/>
    <w:rsid w:val="00C3795F"/>
    <w:rsid w:val="00C405E4"/>
    <w:rsid w:val="00C5670C"/>
    <w:rsid w:val="00C648AD"/>
    <w:rsid w:val="00C64DE4"/>
    <w:rsid w:val="00C65BD5"/>
    <w:rsid w:val="00C6777A"/>
    <w:rsid w:val="00C93C8F"/>
    <w:rsid w:val="00C93CEF"/>
    <w:rsid w:val="00CA1E11"/>
    <w:rsid w:val="00CB7827"/>
    <w:rsid w:val="00CD0425"/>
    <w:rsid w:val="00CD17FF"/>
    <w:rsid w:val="00CD2555"/>
    <w:rsid w:val="00CE2B32"/>
    <w:rsid w:val="00CF4A83"/>
    <w:rsid w:val="00D01EEB"/>
    <w:rsid w:val="00D04F43"/>
    <w:rsid w:val="00D061D1"/>
    <w:rsid w:val="00D1101A"/>
    <w:rsid w:val="00D12779"/>
    <w:rsid w:val="00D12E59"/>
    <w:rsid w:val="00D16E41"/>
    <w:rsid w:val="00D177D9"/>
    <w:rsid w:val="00D17A61"/>
    <w:rsid w:val="00D20F53"/>
    <w:rsid w:val="00D25B27"/>
    <w:rsid w:val="00D36FDE"/>
    <w:rsid w:val="00D42F36"/>
    <w:rsid w:val="00D54B3E"/>
    <w:rsid w:val="00D70C59"/>
    <w:rsid w:val="00D7129D"/>
    <w:rsid w:val="00D81871"/>
    <w:rsid w:val="00D84748"/>
    <w:rsid w:val="00DB270B"/>
    <w:rsid w:val="00DB3CFE"/>
    <w:rsid w:val="00DC1892"/>
    <w:rsid w:val="00DC3A5E"/>
    <w:rsid w:val="00DD04EC"/>
    <w:rsid w:val="00DD3970"/>
    <w:rsid w:val="00DD5357"/>
    <w:rsid w:val="00DD5B73"/>
    <w:rsid w:val="00DE4EBF"/>
    <w:rsid w:val="00DE6CDD"/>
    <w:rsid w:val="00E008F7"/>
    <w:rsid w:val="00E01FAF"/>
    <w:rsid w:val="00E12D3E"/>
    <w:rsid w:val="00E13038"/>
    <w:rsid w:val="00E13727"/>
    <w:rsid w:val="00E174B7"/>
    <w:rsid w:val="00E24A20"/>
    <w:rsid w:val="00E3118A"/>
    <w:rsid w:val="00E56C41"/>
    <w:rsid w:val="00E61101"/>
    <w:rsid w:val="00E64BBB"/>
    <w:rsid w:val="00E7638C"/>
    <w:rsid w:val="00E96193"/>
    <w:rsid w:val="00EA52D5"/>
    <w:rsid w:val="00EA5BFA"/>
    <w:rsid w:val="00EB2423"/>
    <w:rsid w:val="00EB79B3"/>
    <w:rsid w:val="00EC019E"/>
    <w:rsid w:val="00EC62BF"/>
    <w:rsid w:val="00EC79C4"/>
    <w:rsid w:val="00EE018C"/>
    <w:rsid w:val="00EE0E4A"/>
    <w:rsid w:val="00EE6018"/>
    <w:rsid w:val="00EE60DD"/>
    <w:rsid w:val="00EF0D29"/>
    <w:rsid w:val="00EF477C"/>
    <w:rsid w:val="00F006AE"/>
    <w:rsid w:val="00F00896"/>
    <w:rsid w:val="00F111F5"/>
    <w:rsid w:val="00F1180D"/>
    <w:rsid w:val="00F153C4"/>
    <w:rsid w:val="00F22E26"/>
    <w:rsid w:val="00F25C6F"/>
    <w:rsid w:val="00F32310"/>
    <w:rsid w:val="00F33DDC"/>
    <w:rsid w:val="00F50518"/>
    <w:rsid w:val="00F51EAE"/>
    <w:rsid w:val="00F53983"/>
    <w:rsid w:val="00F565B8"/>
    <w:rsid w:val="00F56BEF"/>
    <w:rsid w:val="00F572D3"/>
    <w:rsid w:val="00F57EF7"/>
    <w:rsid w:val="00F65241"/>
    <w:rsid w:val="00F90A90"/>
    <w:rsid w:val="00F90E95"/>
    <w:rsid w:val="00F9359A"/>
    <w:rsid w:val="00FA17D1"/>
    <w:rsid w:val="00FC327A"/>
    <w:rsid w:val="00FC63B4"/>
    <w:rsid w:val="00FC7D4A"/>
    <w:rsid w:val="00FD32F5"/>
    <w:rsid w:val="00FD6F6C"/>
    <w:rsid w:val="00FE2EF2"/>
    <w:rsid w:val="00FF2D46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E3F6B"/>
  <w15:docId w15:val="{80C5FA97-3A24-4DBC-BC2D-2167639F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C327A"/>
    <w:pPr>
      <w:spacing w:before="120"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A6D3F"/>
    <w:pPr>
      <w:keepNext/>
      <w:keepLines/>
      <w:spacing w:before="0" w:after="0"/>
      <w:jc w:val="center"/>
      <w:outlineLvl w:val="0"/>
    </w:pPr>
    <w:rPr>
      <w:rFonts w:ascii="Cambria" w:hAnsi="Cambria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4666"/>
    <w:pPr>
      <w:keepNext/>
      <w:keepLines/>
      <w:spacing w:before="320"/>
      <w:outlineLvl w:val="1"/>
    </w:pPr>
    <w:rPr>
      <w:rFonts w:ascii="Cambria" w:hAnsi="Cambria"/>
      <w:b/>
      <w:bCs/>
      <w:color w:val="1F497D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53E2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37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AC53E2"/>
    <w:pPr>
      <w:spacing w:beforeLines="1" w:before="0" w:afterLines="1" w:after="200"/>
      <w:outlineLvl w:val="5"/>
    </w:pPr>
    <w:rPr>
      <w:rFonts w:ascii="Times" w:hAnsi="Times"/>
      <w:b/>
      <w:sz w:val="15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6D3F"/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rsid w:val="003C4666"/>
    <w:rPr>
      <w:rFonts w:ascii="Cambria" w:hAnsi="Cambria"/>
      <w:b/>
      <w:bCs/>
      <w:color w:val="1F497D"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rsid w:val="00AC53E2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uiPriority w:val="9"/>
    <w:rsid w:val="00AC53E2"/>
    <w:rPr>
      <w:rFonts w:ascii="Times" w:hAnsi="Times"/>
      <w:b/>
      <w:sz w:val="15"/>
      <w:szCs w:val="20"/>
    </w:rPr>
  </w:style>
  <w:style w:type="paragraph" w:styleId="BalloonText">
    <w:name w:val="Balloon Text"/>
    <w:basedOn w:val="Normal"/>
    <w:link w:val="BalloonTextChar1"/>
    <w:uiPriority w:val="99"/>
    <w:rsid w:val="000B6A1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link w:val="BalloonText"/>
    <w:uiPriority w:val="99"/>
    <w:locked/>
    <w:rsid w:val="000B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26FF5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uiPriority w:val="99"/>
    <w:semiHidden/>
    <w:rsid w:val="00A26FF5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uiPriority w:val="99"/>
    <w:semiHidden/>
    <w:rsid w:val="00A26FF5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5B263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uiPriority w:val="99"/>
    <w:semiHidden/>
    <w:rsid w:val="00717C8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0424F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6042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424F"/>
    <w:pPr>
      <w:tabs>
        <w:tab w:val="center" w:pos="4680"/>
        <w:tab w:val="right" w:pos="9360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60424F"/>
    <w:rPr>
      <w:rFonts w:cs="Times New Roman"/>
    </w:rPr>
  </w:style>
  <w:style w:type="paragraph" w:customStyle="1" w:styleId="ColorfulShading-Accent31">
    <w:name w:val="Colorful Shading - Accent 31"/>
    <w:basedOn w:val="Normal"/>
    <w:link w:val="ColorfulShading-Accent3Char"/>
    <w:uiPriority w:val="99"/>
    <w:qFormat/>
    <w:rsid w:val="009C31E2"/>
    <w:pPr>
      <w:ind w:left="720"/>
    </w:pPr>
    <w:rPr>
      <w:szCs w:val="20"/>
      <w:lang w:val="x-none" w:eastAsia="x-none"/>
    </w:rPr>
  </w:style>
  <w:style w:type="character" w:customStyle="1" w:styleId="ColorfulShading-Accent3Char">
    <w:name w:val="Colorful Shading - Accent 3 Char"/>
    <w:link w:val="ColorfulShading-Accent31"/>
    <w:uiPriority w:val="99"/>
    <w:locked/>
    <w:rsid w:val="00AC53E2"/>
    <w:rPr>
      <w:rFonts w:ascii="Arial" w:hAnsi="Arial" w:cs="Calibri"/>
      <w:sz w:val="24"/>
    </w:rPr>
  </w:style>
  <w:style w:type="table" w:customStyle="1" w:styleId="TableGrid1">
    <w:name w:val="Table Grid1"/>
    <w:uiPriority w:val="99"/>
    <w:rsid w:val="00A23787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107BC"/>
  </w:style>
  <w:style w:type="character" w:styleId="CommentReference">
    <w:name w:val="annotation reference"/>
    <w:uiPriority w:val="99"/>
    <w:semiHidden/>
    <w:unhideWhenUsed/>
    <w:rsid w:val="00A55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7D1"/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A55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7D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A01A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B730A"/>
    <w:pPr>
      <w:spacing w:after="0"/>
    </w:pPr>
    <w:rPr>
      <w:rFonts w:ascii="Calibri" w:hAnsi="Calibri"/>
      <w:szCs w:val="24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B730A"/>
    <w:rPr>
      <w:sz w:val="24"/>
      <w:szCs w:val="24"/>
    </w:rPr>
  </w:style>
  <w:style w:type="character" w:styleId="FootnoteReference">
    <w:name w:val="footnote reference"/>
    <w:uiPriority w:val="99"/>
    <w:unhideWhenUsed/>
    <w:rsid w:val="000B730A"/>
    <w:rPr>
      <w:vertAlign w:val="superscript"/>
    </w:rPr>
  </w:style>
  <w:style w:type="paragraph" w:customStyle="1" w:styleId="DarkList-Accent31">
    <w:name w:val="Dark List - Accent 31"/>
    <w:hidden/>
    <w:rsid w:val="00856F17"/>
    <w:rPr>
      <w:sz w:val="22"/>
      <w:szCs w:val="22"/>
    </w:rPr>
  </w:style>
  <w:style w:type="character" w:styleId="FollowedHyperlink">
    <w:name w:val="FollowedHyperlink"/>
    <w:uiPriority w:val="99"/>
    <w:unhideWhenUsed/>
    <w:rsid w:val="00A46F73"/>
    <w:rPr>
      <w:color w:val="800080"/>
      <w:u w:val="single"/>
    </w:rPr>
  </w:style>
  <w:style w:type="paragraph" w:customStyle="1" w:styleId="Body">
    <w:name w:val="Body"/>
    <w:uiPriority w:val="99"/>
    <w:rsid w:val="00AC53E2"/>
    <w:rPr>
      <w:rFonts w:ascii="Times New Roman" w:eastAsia="?????? Pro W3" w:hAnsi="Times New Roman"/>
      <w:color w:val="000000"/>
      <w:sz w:val="24"/>
      <w:szCs w:val="24"/>
    </w:rPr>
  </w:style>
  <w:style w:type="paragraph" w:customStyle="1" w:styleId="Default">
    <w:name w:val="Default"/>
    <w:rsid w:val="00AC53E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C53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ghtGrid-Accent31">
    <w:name w:val="Light Grid - Accent 31"/>
    <w:basedOn w:val="Normal"/>
    <w:uiPriority w:val="99"/>
    <w:qFormat/>
    <w:rsid w:val="007D47F4"/>
    <w:pPr>
      <w:ind w:left="720"/>
    </w:pPr>
    <w:rPr>
      <w:rFonts w:cs="Calibri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1180D"/>
    <w:rPr>
      <w:rFonts w:ascii="Arial" w:hAnsi="Arial" w:cs="Calibri"/>
      <w:sz w:val="24"/>
    </w:rPr>
  </w:style>
  <w:style w:type="table" w:styleId="ColorfulList-Accent1">
    <w:name w:val="Colorful List Accent 1"/>
    <w:basedOn w:val="TableNormal"/>
    <w:link w:val="ColorfulList-Accent1Char"/>
    <w:uiPriority w:val="34"/>
    <w:rsid w:val="00F1180D"/>
    <w:rPr>
      <w:rFonts w:ascii="Arial" w:hAnsi="Arial" w:cs="Calibri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56BE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E13727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styleId="Strong">
    <w:name w:val="Strong"/>
    <w:uiPriority w:val="22"/>
    <w:qFormat/>
    <w:rsid w:val="00E13727"/>
    <w:rPr>
      <w:b/>
    </w:rPr>
  </w:style>
  <w:style w:type="character" w:customStyle="1" w:styleId="ListParagraphChar">
    <w:name w:val="List Paragraph Char"/>
    <w:link w:val="ListParagraph"/>
    <w:uiPriority w:val="34"/>
    <w:locked/>
    <w:rsid w:val="00801A8E"/>
    <w:rPr>
      <w:rFonts w:ascii="Arial" w:hAnsi="Arial"/>
      <w:sz w:val="24"/>
      <w:szCs w:val="22"/>
    </w:rPr>
  </w:style>
  <w:style w:type="paragraph" w:styleId="Revision">
    <w:name w:val="Revision"/>
    <w:hidden/>
    <w:rsid w:val="00A868FA"/>
    <w:rPr>
      <w:rFonts w:ascii="Arial" w:hAnsi="Arial"/>
      <w:sz w:val="24"/>
      <w:szCs w:val="22"/>
    </w:rPr>
  </w:style>
  <w:style w:type="paragraph" w:styleId="NoSpacing">
    <w:name w:val="No Spacing"/>
    <w:uiPriority w:val="1"/>
    <w:qFormat/>
    <w:rsid w:val="00A87D7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4937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Dual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Dual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92D26F-11A9-4139-9EDD-3503CC4D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California about the Standards &amp; Conditions for its Proposed Capitated Financial Alignment Demonstration</vt:lpstr>
    </vt:vector>
  </TitlesOfParts>
  <Company>Microsoft</Company>
  <LinksUpToDate>false</LinksUpToDate>
  <CharactersWithSpaces>2695</CharactersWithSpaces>
  <SharedDoc>false</SharedDoc>
  <HLinks>
    <vt:vector size="18" baseType="variant">
      <vt:variant>
        <vt:i4>6750329</vt:i4>
      </vt:variant>
      <vt:variant>
        <vt:i4>0</vt:i4>
      </vt:variant>
      <vt:variant>
        <vt:i4>0</vt:i4>
      </vt:variant>
      <vt:variant>
        <vt:i4>5</vt:i4>
      </vt:variant>
      <vt:variant>
        <vt:lpwstr>http://www.ramsellcorp.com/individuals/ca.aspx</vt:lpwstr>
      </vt:variant>
      <vt:variant>
        <vt:lpwstr/>
      </vt:variant>
      <vt:variant>
        <vt:i4>5111887</vt:i4>
      </vt:variant>
      <vt:variant>
        <vt:i4>8</vt:i4>
      </vt:variant>
      <vt:variant>
        <vt:i4>0</vt:i4>
      </vt:variant>
      <vt:variant>
        <vt:i4>5</vt:i4>
      </vt:variant>
      <vt:variant>
        <vt:lpwstr>http://www.calduals.org/</vt:lpwstr>
      </vt:variant>
      <vt:variant>
        <vt:lpwstr/>
      </vt:variant>
      <vt:variant>
        <vt:i4>5111887</vt:i4>
      </vt:variant>
      <vt:variant>
        <vt:i4>5</vt:i4>
      </vt:variant>
      <vt:variant>
        <vt:i4>0</vt:i4>
      </vt:variant>
      <vt:variant>
        <vt:i4>5</vt:i4>
      </vt:variant>
      <vt:variant>
        <vt:lpwstr>http://www.calduals.org/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California about the Standards &amp; Conditions for its Proposed Capitated Financial Alignment Demonstration</dc:title>
  <dc:creator>Branick</dc:creator>
  <cp:lastModifiedBy>Subhan Cheema</cp:lastModifiedBy>
  <cp:revision>2</cp:revision>
  <cp:lastPrinted>2016-05-04T17:44:00Z</cp:lastPrinted>
  <dcterms:created xsi:type="dcterms:W3CDTF">2016-05-11T22:26:00Z</dcterms:created>
  <dcterms:modified xsi:type="dcterms:W3CDTF">2016-05-11T22:26:00Z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