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B1A22" w14:textId="77777777" w:rsidR="00E07804" w:rsidRPr="00B33B55" w:rsidRDefault="00E07804" w:rsidP="00B02720">
      <w:pPr>
        <w:spacing w:line="276" w:lineRule="auto"/>
        <w:jc w:val="center"/>
        <w:rPr>
          <w:rFonts w:ascii="Arial" w:eastAsia="Times New Roman" w:hAnsi="Arial" w:cs="Arial"/>
          <w:b/>
          <w:color w:val="000000" w:themeColor="text1"/>
        </w:rPr>
      </w:pPr>
    </w:p>
    <w:p w14:paraId="78A66F6D" w14:textId="77777777" w:rsidR="00FC6A59" w:rsidRPr="00B33B55" w:rsidRDefault="00FC6A59" w:rsidP="00B02720">
      <w:pPr>
        <w:spacing w:line="276" w:lineRule="auto"/>
        <w:jc w:val="center"/>
        <w:rPr>
          <w:rFonts w:ascii="Arial" w:eastAsia="Times New Roman" w:hAnsi="Arial" w:cs="Arial"/>
          <w:b/>
          <w:color w:val="000000" w:themeColor="text1"/>
        </w:rPr>
      </w:pPr>
    </w:p>
    <w:p w14:paraId="240DAA13" w14:textId="77777777" w:rsidR="00FC6A59" w:rsidRPr="00B33B55" w:rsidRDefault="00FC6A59" w:rsidP="00B02720">
      <w:pPr>
        <w:spacing w:line="276" w:lineRule="auto"/>
        <w:jc w:val="center"/>
        <w:rPr>
          <w:rFonts w:ascii="Arial" w:eastAsia="Times New Roman" w:hAnsi="Arial" w:cs="Arial"/>
          <w:b/>
          <w:color w:val="000000" w:themeColor="text1"/>
        </w:rPr>
      </w:pPr>
    </w:p>
    <w:p w14:paraId="3B426FF2" w14:textId="77777777" w:rsidR="00FC6A59" w:rsidRPr="00B33B55" w:rsidRDefault="00FC6A59" w:rsidP="00B02720">
      <w:pPr>
        <w:spacing w:line="276" w:lineRule="auto"/>
        <w:jc w:val="center"/>
        <w:rPr>
          <w:rFonts w:ascii="Arial" w:eastAsia="Times New Roman" w:hAnsi="Arial" w:cs="Arial"/>
          <w:b/>
          <w:color w:val="000000" w:themeColor="text1"/>
        </w:rPr>
      </w:pPr>
    </w:p>
    <w:p w14:paraId="7ECD76F8" w14:textId="77777777" w:rsidR="00FC6A59" w:rsidRPr="00B33B55" w:rsidRDefault="00FC6A59" w:rsidP="00B02720">
      <w:pPr>
        <w:spacing w:line="276" w:lineRule="auto"/>
        <w:jc w:val="center"/>
        <w:rPr>
          <w:rFonts w:ascii="Arial" w:eastAsia="Times New Roman" w:hAnsi="Arial" w:cs="Arial"/>
          <w:b/>
          <w:color w:val="000000" w:themeColor="text1"/>
        </w:rPr>
      </w:pPr>
    </w:p>
    <w:p w14:paraId="2B5A030D" w14:textId="77777777" w:rsidR="00FC6A59" w:rsidRPr="00B33B55" w:rsidRDefault="00FC6A59" w:rsidP="00FC6A59">
      <w:pPr>
        <w:pStyle w:val="Header"/>
        <w:rPr>
          <w:rFonts w:ascii="Arial" w:hAnsi="Arial" w:cs="Arial"/>
        </w:rPr>
      </w:pPr>
    </w:p>
    <w:p w14:paraId="3733E669" w14:textId="77777777" w:rsidR="00FC6A59" w:rsidRPr="00B33B55" w:rsidRDefault="00FC6A59" w:rsidP="00B02720">
      <w:pPr>
        <w:spacing w:line="276" w:lineRule="auto"/>
        <w:jc w:val="center"/>
        <w:rPr>
          <w:rFonts w:ascii="Arial" w:eastAsia="Times New Roman" w:hAnsi="Arial" w:cs="Arial"/>
          <w:b/>
          <w:color w:val="000000" w:themeColor="text1"/>
        </w:rPr>
      </w:pPr>
    </w:p>
    <w:p w14:paraId="5D1B1812" w14:textId="77777777" w:rsidR="00FC6A59" w:rsidRPr="00B33B55" w:rsidRDefault="00FC6A59" w:rsidP="00B02720">
      <w:pPr>
        <w:spacing w:line="276" w:lineRule="auto"/>
        <w:jc w:val="center"/>
        <w:rPr>
          <w:rFonts w:ascii="Arial" w:eastAsia="Times New Roman" w:hAnsi="Arial" w:cs="Arial"/>
          <w:b/>
          <w:color w:val="000000" w:themeColor="text1"/>
        </w:rPr>
      </w:pPr>
    </w:p>
    <w:p w14:paraId="737740C7" w14:textId="77777777" w:rsidR="00FC6A59" w:rsidRPr="00B33B55" w:rsidRDefault="00FC6A59" w:rsidP="00B02720">
      <w:pPr>
        <w:spacing w:line="276" w:lineRule="auto"/>
        <w:jc w:val="center"/>
        <w:rPr>
          <w:rFonts w:ascii="Arial" w:eastAsia="Times New Roman" w:hAnsi="Arial" w:cs="Arial"/>
          <w:b/>
          <w:color w:val="000000" w:themeColor="text1"/>
        </w:rPr>
      </w:pPr>
    </w:p>
    <w:p w14:paraId="40FD151E" w14:textId="77777777" w:rsidR="00FC6A59" w:rsidRPr="00B33B55" w:rsidRDefault="00FC6A59" w:rsidP="00B02720">
      <w:pPr>
        <w:spacing w:line="276" w:lineRule="auto"/>
        <w:jc w:val="center"/>
        <w:rPr>
          <w:rFonts w:ascii="Arial" w:eastAsia="Times New Roman" w:hAnsi="Arial" w:cs="Arial"/>
          <w:b/>
          <w:color w:val="000000" w:themeColor="text1"/>
        </w:rPr>
      </w:pPr>
    </w:p>
    <w:p w14:paraId="481FFF6F" w14:textId="77777777" w:rsidR="00436911" w:rsidRPr="00B33B55" w:rsidRDefault="00436911" w:rsidP="00B02720">
      <w:pPr>
        <w:spacing w:line="276" w:lineRule="auto"/>
        <w:jc w:val="center"/>
        <w:rPr>
          <w:rFonts w:ascii="Arial" w:eastAsia="Times New Roman" w:hAnsi="Arial" w:cs="Arial"/>
          <w:b/>
          <w:color w:val="000000" w:themeColor="text1"/>
        </w:rPr>
      </w:pPr>
    </w:p>
    <w:p w14:paraId="0E970F82" w14:textId="77777777" w:rsidR="00436911" w:rsidRPr="00B33B55" w:rsidRDefault="00436911" w:rsidP="00B02720">
      <w:pPr>
        <w:spacing w:line="276" w:lineRule="auto"/>
        <w:jc w:val="center"/>
        <w:rPr>
          <w:rFonts w:ascii="Arial" w:eastAsia="Times New Roman" w:hAnsi="Arial" w:cs="Arial"/>
          <w:b/>
          <w:color w:val="000000" w:themeColor="text1"/>
        </w:rPr>
      </w:pPr>
    </w:p>
    <w:p w14:paraId="543A9AF5" w14:textId="77777777" w:rsidR="00FC6A59" w:rsidRPr="00B33B55" w:rsidRDefault="00FC6A59" w:rsidP="00B02720">
      <w:pPr>
        <w:spacing w:line="276" w:lineRule="auto"/>
        <w:jc w:val="center"/>
        <w:rPr>
          <w:rFonts w:ascii="Arial" w:eastAsia="Times New Roman" w:hAnsi="Arial" w:cs="Arial"/>
          <w:b/>
          <w:color w:val="000000" w:themeColor="text1"/>
        </w:rPr>
      </w:pPr>
    </w:p>
    <w:p w14:paraId="675793B3" w14:textId="77777777" w:rsidR="00FC6A59" w:rsidRPr="00B33B55" w:rsidRDefault="00FC6A59" w:rsidP="00FC6A59">
      <w:pPr>
        <w:spacing w:line="276" w:lineRule="auto"/>
        <w:jc w:val="center"/>
        <w:rPr>
          <w:rFonts w:ascii="Arial" w:eastAsia="Times New Roman" w:hAnsi="Arial" w:cs="Arial"/>
          <w:b/>
          <w:color w:val="000000" w:themeColor="text1"/>
        </w:rPr>
      </w:pPr>
    </w:p>
    <w:p w14:paraId="25CA2D0B" w14:textId="77777777" w:rsidR="00FC6A59" w:rsidRPr="00B33B55" w:rsidRDefault="00A213FA" w:rsidP="00695236">
      <w:pPr>
        <w:tabs>
          <w:tab w:val="left" w:pos="7920"/>
        </w:tabs>
        <w:spacing w:line="480" w:lineRule="auto"/>
        <w:jc w:val="center"/>
        <w:rPr>
          <w:rFonts w:ascii="Arial" w:eastAsia="Times New Roman" w:hAnsi="Arial" w:cs="Arial"/>
          <w:b/>
          <w:color w:val="000000" w:themeColor="text1"/>
        </w:rPr>
      </w:pPr>
      <w:r w:rsidRPr="00B33B55">
        <w:rPr>
          <w:rFonts w:ascii="Arial" w:eastAsia="Times New Roman" w:hAnsi="Arial" w:cs="Arial"/>
          <w:b/>
          <w:color w:val="000000" w:themeColor="text1"/>
        </w:rPr>
        <w:t>Purchased Services Recommendations</w:t>
      </w:r>
    </w:p>
    <w:p w14:paraId="582ED1DE" w14:textId="77777777" w:rsidR="00C20C99" w:rsidRPr="00B33B55" w:rsidRDefault="00C20C99" w:rsidP="00C20C99">
      <w:pPr>
        <w:spacing w:line="480" w:lineRule="auto"/>
        <w:jc w:val="center"/>
        <w:rPr>
          <w:rFonts w:ascii="Arial" w:eastAsia="Times New Roman" w:hAnsi="Arial" w:cs="Arial"/>
          <w:color w:val="000000" w:themeColor="text1"/>
        </w:rPr>
      </w:pPr>
      <w:r w:rsidRPr="00B33B55">
        <w:rPr>
          <w:rFonts w:ascii="Arial" w:eastAsia="Times New Roman" w:hAnsi="Arial" w:cs="Arial"/>
          <w:color w:val="000000" w:themeColor="text1"/>
        </w:rPr>
        <w:t xml:space="preserve">Findings from </w:t>
      </w:r>
      <w:r w:rsidR="00CF12E2" w:rsidRPr="00B33B55">
        <w:rPr>
          <w:rFonts w:ascii="Arial" w:eastAsia="Times New Roman" w:hAnsi="Arial" w:cs="Arial"/>
          <w:color w:val="000000" w:themeColor="text1"/>
        </w:rPr>
        <w:t>Model of Care Workgroup formed by the</w:t>
      </w:r>
    </w:p>
    <w:p w14:paraId="17360772" w14:textId="77777777" w:rsidR="002D39B2" w:rsidRDefault="00747839" w:rsidP="00C20C99">
      <w:pPr>
        <w:spacing w:line="480" w:lineRule="auto"/>
        <w:jc w:val="center"/>
        <w:rPr>
          <w:rFonts w:ascii="Arial" w:eastAsia="Times New Roman" w:hAnsi="Arial" w:cs="Arial"/>
          <w:color w:val="000000" w:themeColor="text1"/>
        </w:rPr>
      </w:pPr>
      <w:r w:rsidRPr="00B33B55">
        <w:rPr>
          <w:rFonts w:ascii="Arial" w:eastAsia="Times New Roman" w:hAnsi="Arial" w:cs="Arial"/>
          <w:color w:val="000000" w:themeColor="text1"/>
        </w:rPr>
        <w:t>Department of Health Care Services</w:t>
      </w:r>
      <w:r w:rsidR="002D39B2">
        <w:rPr>
          <w:rFonts w:ascii="Arial" w:eastAsia="Times New Roman" w:hAnsi="Arial" w:cs="Arial"/>
          <w:color w:val="000000" w:themeColor="text1"/>
        </w:rPr>
        <w:t xml:space="preserve"> and </w:t>
      </w:r>
    </w:p>
    <w:p w14:paraId="0EC85312" w14:textId="77777777" w:rsidR="00747839" w:rsidRPr="00B33B55" w:rsidRDefault="002D39B2" w:rsidP="00C20C99">
      <w:pPr>
        <w:spacing w:line="480" w:lineRule="auto"/>
        <w:jc w:val="center"/>
        <w:rPr>
          <w:rFonts w:ascii="Arial" w:eastAsia="Times New Roman" w:hAnsi="Arial" w:cs="Arial"/>
          <w:color w:val="000000" w:themeColor="text1"/>
        </w:rPr>
      </w:pPr>
      <w:r>
        <w:rPr>
          <w:rFonts w:ascii="Arial" w:eastAsia="Times New Roman" w:hAnsi="Arial" w:cs="Arial"/>
          <w:color w:val="000000" w:themeColor="text1"/>
        </w:rPr>
        <w:t>California Department of Aging</w:t>
      </w:r>
    </w:p>
    <w:p w14:paraId="25233218" w14:textId="64183DD5" w:rsidR="00C20C99" w:rsidRPr="00B33B55" w:rsidRDefault="000A370A" w:rsidP="00C20C99">
      <w:pPr>
        <w:spacing w:line="480" w:lineRule="auto"/>
        <w:jc w:val="center"/>
        <w:rPr>
          <w:rFonts w:ascii="Arial" w:eastAsia="Times New Roman" w:hAnsi="Arial" w:cs="Arial"/>
          <w:color w:val="000000" w:themeColor="text1"/>
        </w:rPr>
      </w:pPr>
      <w:r>
        <w:rPr>
          <w:rFonts w:ascii="Arial" w:eastAsia="Times New Roman" w:hAnsi="Arial" w:cs="Arial"/>
          <w:color w:val="000000" w:themeColor="text1"/>
        </w:rPr>
        <w:t>January 2019</w:t>
      </w:r>
    </w:p>
    <w:p w14:paraId="52458CD2" w14:textId="77777777" w:rsidR="00FC6A59" w:rsidRPr="00B33B55" w:rsidRDefault="00FC6A59" w:rsidP="00FC6A59">
      <w:pPr>
        <w:spacing w:line="276" w:lineRule="auto"/>
        <w:jc w:val="center"/>
        <w:rPr>
          <w:rFonts w:ascii="Arial" w:eastAsia="Times New Roman" w:hAnsi="Arial" w:cs="Arial"/>
          <w:b/>
          <w:color w:val="000000" w:themeColor="text1"/>
        </w:rPr>
      </w:pPr>
    </w:p>
    <w:p w14:paraId="513846C7" w14:textId="77777777" w:rsidR="00FC6A59" w:rsidRPr="00B33B55" w:rsidRDefault="00FC6A59" w:rsidP="00FC6A59">
      <w:pPr>
        <w:spacing w:line="276" w:lineRule="auto"/>
        <w:jc w:val="center"/>
        <w:rPr>
          <w:rFonts w:ascii="Arial" w:eastAsia="Times New Roman" w:hAnsi="Arial" w:cs="Arial"/>
          <w:b/>
          <w:color w:val="000000" w:themeColor="text1"/>
        </w:rPr>
      </w:pPr>
    </w:p>
    <w:p w14:paraId="77002F1C" w14:textId="77777777" w:rsidR="00FC6A59" w:rsidRPr="00B33B55" w:rsidRDefault="00FC6A59" w:rsidP="00FC6A59">
      <w:pPr>
        <w:spacing w:line="276" w:lineRule="auto"/>
        <w:jc w:val="center"/>
        <w:rPr>
          <w:rFonts w:ascii="Arial" w:eastAsia="Times New Roman" w:hAnsi="Arial" w:cs="Arial"/>
          <w:b/>
          <w:color w:val="000000" w:themeColor="text1"/>
        </w:rPr>
      </w:pPr>
    </w:p>
    <w:p w14:paraId="5D1C37D0" w14:textId="77777777" w:rsidR="00FC6A59" w:rsidRPr="00B33B55" w:rsidRDefault="00FC6A59" w:rsidP="00FC6A59">
      <w:pPr>
        <w:spacing w:line="276" w:lineRule="auto"/>
        <w:jc w:val="center"/>
        <w:rPr>
          <w:rFonts w:ascii="Arial" w:eastAsia="Times New Roman" w:hAnsi="Arial" w:cs="Arial"/>
          <w:b/>
          <w:color w:val="000000" w:themeColor="text1"/>
        </w:rPr>
      </w:pPr>
    </w:p>
    <w:p w14:paraId="1E95FD1B" w14:textId="77777777" w:rsidR="00FC6A59" w:rsidRPr="00B33B55" w:rsidRDefault="00FC6A59" w:rsidP="00FC6A59">
      <w:pPr>
        <w:spacing w:line="276" w:lineRule="auto"/>
        <w:jc w:val="center"/>
        <w:rPr>
          <w:rFonts w:ascii="Arial" w:eastAsia="Times New Roman" w:hAnsi="Arial" w:cs="Arial"/>
          <w:b/>
          <w:color w:val="000000" w:themeColor="text1"/>
        </w:rPr>
      </w:pPr>
    </w:p>
    <w:p w14:paraId="7B1BC6C7" w14:textId="77777777" w:rsidR="00FC6A59" w:rsidRPr="00B33B55" w:rsidRDefault="00FC6A59" w:rsidP="00FC6A59">
      <w:pPr>
        <w:spacing w:line="276" w:lineRule="auto"/>
        <w:jc w:val="center"/>
        <w:rPr>
          <w:rFonts w:ascii="Arial" w:eastAsia="Times New Roman" w:hAnsi="Arial" w:cs="Arial"/>
          <w:b/>
          <w:color w:val="000000" w:themeColor="text1"/>
        </w:rPr>
      </w:pPr>
    </w:p>
    <w:p w14:paraId="73A5B58E" w14:textId="77777777" w:rsidR="00FC6A59" w:rsidRPr="00B33B55" w:rsidRDefault="00FC6A59" w:rsidP="00FC6A59">
      <w:pPr>
        <w:spacing w:line="276" w:lineRule="auto"/>
        <w:jc w:val="center"/>
        <w:rPr>
          <w:rFonts w:ascii="Arial" w:eastAsia="Times New Roman" w:hAnsi="Arial" w:cs="Arial"/>
          <w:b/>
          <w:color w:val="000000" w:themeColor="text1"/>
        </w:rPr>
      </w:pPr>
    </w:p>
    <w:p w14:paraId="3732ECC4" w14:textId="77777777" w:rsidR="00FC6A59" w:rsidRPr="00B33B55" w:rsidRDefault="00FC6A59" w:rsidP="00FC6A59">
      <w:pPr>
        <w:spacing w:line="276" w:lineRule="auto"/>
        <w:jc w:val="center"/>
        <w:rPr>
          <w:rFonts w:ascii="Arial" w:eastAsia="Times New Roman" w:hAnsi="Arial" w:cs="Arial"/>
          <w:b/>
          <w:color w:val="000000" w:themeColor="text1"/>
        </w:rPr>
      </w:pPr>
    </w:p>
    <w:p w14:paraId="37B1EF80" w14:textId="77777777" w:rsidR="00FC6A59" w:rsidRPr="00B33B55" w:rsidRDefault="00FC6A59" w:rsidP="00FC6A59">
      <w:pPr>
        <w:spacing w:line="276" w:lineRule="auto"/>
        <w:jc w:val="center"/>
        <w:rPr>
          <w:rFonts w:ascii="Arial" w:eastAsia="Times New Roman" w:hAnsi="Arial" w:cs="Arial"/>
          <w:b/>
          <w:color w:val="000000" w:themeColor="text1"/>
        </w:rPr>
      </w:pPr>
    </w:p>
    <w:p w14:paraId="403DC23D" w14:textId="77777777" w:rsidR="00FC6A59" w:rsidRPr="00B33B55" w:rsidRDefault="00FC6A59" w:rsidP="00FC6A59">
      <w:pPr>
        <w:spacing w:line="276" w:lineRule="auto"/>
        <w:jc w:val="center"/>
        <w:rPr>
          <w:rFonts w:ascii="Arial" w:eastAsia="Times New Roman" w:hAnsi="Arial" w:cs="Arial"/>
          <w:b/>
          <w:color w:val="000000" w:themeColor="text1"/>
        </w:rPr>
      </w:pPr>
    </w:p>
    <w:p w14:paraId="1C51759B" w14:textId="77777777" w:rsidR="00FC6A59" w:rsidRDefault="00FC6A59" w:rsidP="00FC6A59">
      <w:pPr>
        <w:spacing w:line="276" w:lineRule="auto"/>
        <w:jc w:val="center"/>
        <w:rPr>
          <w:rFonts w:ascii="Arial" w:eastAsia="Times New Roman" w:hAnsi="Arial" w:cs="Arial"/>
          <w:b/>
          <w:color w:val="000000" w:themeColor="text1"/>
        </w:rPr>
      </w:pPr>
    </w:p>
    <w:p w14:paraId="7C196DCF" w14:textId="77777777" w:rsidR="00034B8B" w:rsidRDefault="00034B8B" w:rsidP="00FC6A59">
      <w:pPr>
        <w:spacing w:line="276" w:lineRule="auto"/>
        <w:jc w:val="center"/>
        <w:rPr>
          <w:rFonts w:ascii="Arial" w:eastAsia="Times New Roman" w:hAnsi="Arial" w:cs="Arial"/>
          <w:b/>
          <w:color w:val="000000" w:themeColor="text1"/>
        </w:rPr>
      </w:pPr>
    </w:p>
    <w:p w14:paraId="7696885F" w14:textId="466F3046" w:rsidR="00034B8B" w:rsidRDefault="00034B8B" w:rsidP="00FC6A59">
      <w:pPr>
        <w:spacing w:line="276" w:lineRule="auto"/>
        <w:jc w:val="center"/>
        <w:rPr>
          <w:rFonts w:ascii="Arial" w:eastAsia="Times New Roman" w:hAnsi="Arial" w:cs="Arial"/>
          <w:b/>
          <w:color w:val="000000" w:themeColor="text1"/>
        </w:rPr>
      </w:pPr>
    </w:p>
    <w:p w14:paraId="329BB67C" w14:textId="59A3FD27" w:rsidR="00F332BE" w:rsidRDefault="00F332BE" w:rsidP="00FC6A59">
      <w:pPr>
        <w:spacing w:line="276" w:lineRule="auto"/>
        <w:jc w:val="center"/>
        <w:rPr>
          <w:rFonts w:ascii="Arial" w:eastAsia="Times New Roman" w:hAnsi="Arial" w:cs="Arial"/>
          <w:b/>
          <w:color w:val="000000" w:themeColor="text1"/>
        </w:rPr>
      </w:pPr>
    </w:p>
    <w:p w14:paraId="03339624" w14:textId="77777777" w:rsidR="00F332BE" w:rsidRDefault="00F332BE" w:rsidP="00FC6A59">
      <w:pPr>
        <w:spacing w:line="276" w:lineRule="auto"/>
        <w:jc w:val="center"/>
        <w:rPr>
          <w:rFonts w:ascii="Arial" w:eastAsia="Times New Roman" w:hAnsi="Arial" w:cs="Arial"/>
          <w:b/>
          <w:color w:val="000000" w:themeColor="text1"/>
        </w:rPr>
      </w:pPr>
    </w:p>
    <w:p w14:paraId="07FA8D31" w14:textId="77777777" w:rsidR="00034B8B" w:rsidRDefault="00034B8B" w:rsidP="00FC6A59">
      <w:pPr>
        <w:spacing w:line="276" w:lineRule="auto"/>
        <w:jc w:val="center"/>
        <w:rPr>
          <w:rFonts w:ascii="Arial" w:eastAsia="Times New Roman" w:hAnsi="Arial" w:cs="Arial"/>
          <w:b/>
          <w:color w:val="000000" w:themeColor="text1"/>
        </w:rPr>
      </w:pPr>
    </w:p>
    <w:p w14:paraId="32073AD6" w14:textId="77777777" w:rsidR="00034B8B" w:rsidRDefault="00034B8B" w:rsidP="00FC6A59">
      <w:pPr>
        <w:spacing w:line="276" w:lineRule="auto"/>
        <w:jc w:val="center"/>
        <w:rPr>
          <w:rFonts w:ascii="Arial" w:eastAsia="Times New Roman" w:hAnsi="Arial" w:cs="Arial"/>
          <w:b/>
          <w:color w:val="000000" w:themeColor="text1"/>
        </w:rPr>
      </w:pPr>
    </w:p>
    <w:p w14:paraId="5A68F9C2" w14:textId="77777777" w:rsidR="00034B8B" w:rsidRDefault="00034B8B" w:rsidP="00FC6A59">
      <w:pPr>
        <w:spacing w:line="276" w:lineRule="auto"/>
        <w:jc w:val="center"/>
        <w:rPr>
          <w:rFonts w:ascii="Arial" w:eastAsia="Times New Roman" w:hAnsi="Arial" w:cs="Arial"/>
          <w:b/>
          <w:color w:val="000000" w:themeColor="text1"/>
        </w:rPr>
      </w:pPr>
    </w:p>
    <w:p w14:paraId="08427566" w14:textId="77777777" w:rsidR="00977E01" w:rsidRPr="00B33B55" w:rsidRDefault="00A213FA" w:rsidP="00B02720">
      <w:pPr>
        <w:spacing w:line="276" w:lineRule="auto"/>
        <w:jc w:val="center"/>
        <w:rPr>
          <w:rFonts w:ascii="Arial" w:eastAsia="Times New Roman" w:hAnsi="Arial" w:cs="Arial"/>
          <w:b/>
          <w:color w:val="000000" w:themeColor="text1"/>
        </w:rPr>
      </w:pPr>
      <w:r w:rsidRPr="00B33B55">
        <w:rPr>
          <w:rFonts w:ascii="Arial" w:eastAsia="Times New Roman" w:hAnsi="Arial" w:cs="Arial"/>
          <w:b/>
          <w:color w:val="000000" w:themeColor="text1"/>
        </w:rPr>
        <w:lastRenderedPageBreak/>
        <w:t>Background</w:t>
      </w:r>
    </w:p>
    <w:p w14:paraId="789E8F6F" w14:textId="77777777" w:rsidR="0026786B" w:rsidRPr="00B33B55" w:rsidRDefault="0026786B" w:rsidP="00B02720">
      <w:pPr>
        <w:spacing w:line="276" w:lineRule="auto"/>
        <w:rPr>
          <w:rFonts w:ascii="Arial" w:eastAsia="Times New Roman" w:hAnsi="Arial" w:cs="Arial"/>
          <w:color w:val="000000" w:themeColor="text1"/>
        </w:rPr>
      </w:pPr>
    </w:p>
    <w:p w14:paraId="75F19D2B" w14:textId="77777777" w:rsidR="00BE4DC8" w:rsidRPr="00B33B55" w:rsidRDefault="00BE4DC8" w:rsidP="00BE4DC8">
      <w:pPr>
        <w:rPr>
          <w:rFonts w:ascii="Arial" w:eastAsia="Times New Roman" w:hAnsi="Arial" w:cs="Arial"/>
        </w:rPr>
      </w:pPr>
      <w:r w:rsidRPr="00B33B55">
        <w:rPr>
          <w:rFonts w:ascii="Arial" w:hAnsi="Arial" w:cs="Arial"/>
        </w:rPr>
        <w:t xml:space="preserve">The Coordinated Care Initiative (CCI) was developed to improve coordination and integration of care for dual eligible and Medi-Cal beneficiaries, and </w:t>
      </w:r>
      <w:proofErr w:type="gramStart"/>
      <w:r w:rsidRPr="00B33B55">
        <w:rPr>
          <w:rFonts w:ascii="Arial" w:hAnsi="Arial" w:cs="Arial"/>
        </w:rPr>
        <w:t>in particular to</w:t>
      </w:r>
      <w:proofErr w:type="gramEnd"/>
      <w:r w:rsidRPr="00B33B55">
        <w:rPr>
          <w:rFonts w:ascii="Arial" w:hAnsi="Arial" w:cs="Arial"/>
        </w:rPr>
        <w:t xml:space="preserve"> improve coordination with long-term services and supports benefits such as the Multipurpose Senior Services Program (MSSP). MSSP provides care management and supplemental services to assist Medi-Cal beneficiaries aged 65 and older who are at risk of being institutionalized and want to remain safely living in the community. As a part of the CCI, MSSP will transition from a federal 1915(c) HCBS waiver to a fully integrated Medi-Cal managed care benefit in the six remaining CCI counties in 2020. The goal of the transition is to improve care </w:t>
      </w:r>
      <w:proofErr w:type="gramStart"/>
      <w:r w:rsidRPr="00B33B55">
        <w:rPr>
          <w:rFonts w:ascii="Arial" w:hAnsi="Arial" w:cs="Arial"/>
        </w:rPr>
        <w:t xml:space="preserve">coordination, </w:t>
      </w:r>
      <w:r w:rsidRPr="00B33B55">
        <w:rPr>
          <w:rFonts w:ascii="Arial" w:eastAsia="Times New Roman" w:hAnsi="Arial" w:cs="Arial"/>
        </w:rPr>
        <w:t>and</w:t>
      </w:r>
      <w:proofErr w:type="gramEnd"/>
      <w:r w:rsidRPr="00B33B55">
        <w:rPr>
          <w:rFonts w:ascii="Arial" w:eastAsia="Times New Roman" w:hAnsi="Arial" w:cs="Arial"/>
        </w:rPr>
        <w:t xml:space="preserve"> expand the availability of care coordination to more individuals.</w:t>
      </w:r>
    </w:p>
    <w:p w14:paraId="51276099" w14:textId="77777777" w:rsidR="00BE4DC8" w:rsidRPr="00B33B55" w:rsidRDefault="00BE4DC8" w:rsidP="00BE4DC8">
      <w:pPr>
        <w:outlineLvl w:val="0"/>
        <w:rPr>
          <w:rFonts w:ascii="Arial" w:hAnsi="Arial" w:cs="Arial"/>
        </w:rPr>
      </w:pPr>
    </w:p>
    <w:p w14:paraId="6EB1AFA9" w14:textId="77777777" w:rsidR="00BE4DC8" w:rsidRPr="00B33B55" w:rsidRDefault="00BE4DC8" w:rsidP="00BE4DC8">
      <w:pPr>
        <w:outlineLvl w:val="0"/>
        <w:rPr>
          <w:rFonts w:ascii="Arial" w:hAnsi="Arial" w:cs="Arial"/>
        </w:rPr>
      </w:pPr>
      <w:r w:rsidRPr="00B33B55">
        <w:rPr>
          <w:rFonts w:ascii="Arial" w:hAnsi="Arial" w:cs="Arial"/>
        </w:rPr>
        <w:t xml:space="preserve">To support this transition, the Department of Health Care Services (DHCS) and California Department of Aging (CDA) have convened a workgroup composed of MSSP sites and managed care plans. The Model of Care Workgroup is tasked with developing </w:t>
      </w:r>
      <w:r w:rsidR="007F1740">
        <w:rPr>
          <w:rFonts w:ascii="Arial" w:hAnsi="Arial" w:cs="Arial"/>
        </w:rPr>
        <w:t xml:space="preserve">recommendations for the departments to consider when creating </w:t>
      </w:r>
      <w:r w:rsidRPr="00B33B55">
        <w:rPr>
          <w:rFonts w:ascii="Arial" w:hAnsi="Arial" w:cs="Arial"/>
        </w:rPr>
        <w:t>the model of care for the new Home and Community-Based Services Care Planning and Management (HCBS CPM) benefit that will take the place of the MSSP program.</w:t>
      </w:r>
    </w:p>
    <w:p w14:paraId="31ACDDAE" w14:textId="77777777" w:rsidR="00BE4DC8" w:rsidRPr="00B33B55" w:rsidRDefault="00BE4DC8" w:rsidP="00BE4DC8">
      <w:pPr>
        <w:outlineLvl w:val="0"/>
        <w:rPr>
          <w:rFonts w:ascii="Arial" w:hAnsi="Arial" w:cs="Arial"/>
        </w:rPr>
      </w:pPr>
    </w:p>
    <w:p w14:paraId="4FC13CA5" w14:textId="77777777" w:rsidR="00BE4DC8" w:rsidRPr="00B33B55" w:rsidRDefault="00BE4DC8" w:rsidP="00BE4DC8">
      <w:pPr>
        <w:outlineLvl w:val="0"/>
        <w:rPr>
          <w:rFonts w:ascii="Arial" w:hAnsi="Arial" w:cs="Arial"/>
        </w:rPr>
      </w:pPr>
      <w:r w:rsidRPr="00B33B55">
        <w:rPr>
          <w:rFonts w:ascii="Arial" w:hAnsi="Arial" w:cs="Arial"/>
        </w:rPr>
        <w:t xml:space="preserve">This workgroup was convened in </w:t>
      </w:r>
      <w:proofErr w:type="gramStart"/>
      <w:r w:rsidRPr="00B33B55">
        <w:rPr>
          <w:rFonts w:ascii="Arial" w:hAnsi="Arial" w:cs="Arial"/>
        </w:rPr>
        <w:t>January 2018, and</w:t>
      </w:r>
      <w:proofErr w:type="gramEnd"/>
      <w:r w:rsidRPr="00B33B55">
        <w:rPr>
          <w:rFonts w:ascii="Arial" w:hAnsi="Arial" w:cs="Arial"/>
        </w:rPr>
        <w:t xml:space="preserve"> has met on a bi-monthly basis to work through a number of topics related to the model of care, including eligibility criteria, data sharing, and staffing.</w:t>
      </w:r>
    </w:p>
    <w:p w14:paraId="43405704" w14:textId="77777777" w:rsidR="00BE4DC8" w:rsidRPr="00B33B55" w:rsidRDefault="00BE4DC8" w:rsidP="00BE4DC8">
      <w:pPr>
        <w:outlineLvl w:val="0"/>
        <w:rPr>
          <w:rFonts w:ascii="Arial" w:hAnsi="Arial" w:cs="Arial"/>
        </w:rPr>
      </w:pPr>
    </w:p>
    <w:p w14:paraId="1656FC76" w14:textId="39187953" w:rsidR="00BE4DC8" w:rsidRPr="00B33B55" w:rsidRDefault="00BE4DC8" w:rsidP="00BE4DC8">
      <w:pPr>
        <w:outlineLvl w:val="0"/>
        <w:rPr>
          <w:rFonts w:ascii="Arial" w:hAnsi="Arial" w:cs="Arial"/>
        </w:rPr>
      </w:pPr>
      <w:r w:rsidRPr="00B33B55">
        <w:rPr>
          <w:rFonts w:ascii="Arial" w:hAnsi="Arial" w:cs="Arial"/>
        </w:rPr>
        <w:t xml:space="preserve">Purchased services are a central benefit of the MSSP </w:t>
      </w:r>
      <w:proofErr w:type="gramStart"/>
      <w:r w:rsidRPr="00B33B55">
        <w:rPr>
          <w:rFonts w:ascii="Arial" w:hAnsi="Arial" w:cs="Arial"/>
        </w:rPr>
        <w:t>program, and</w:t>
      </w:r>
      <w:proofErr w:type="gramEnd"/>
      <w:r w:rsidRPr="00B33B55">
        <w:rPr>
          <w:rFonts w:ascii="Arial" w:hAnsi="Arial" w:cs="Arial"/>
        </w:rPr>
        <w:t xml:space="preserve"> are necessary components for the new HCBS CPM benefit to function. These </w:t>
      </w:r>
      <w:r w:rsidR="00B33B55" w:rsidRPr="00B33B55">
        <w:rPr>
          <w:rFonts w:ascii="Arial" w:hAnsi="Arial" w:cs="Arial"/>
        </w:rPr>
        <w:t xml:space="preserve">may include services or items </w:t>
      </w:r>
      <w:r w:rsidRPr="00B33B55">
        <w:rPr>
          <w:rFonts w:ascii="Arial" w:hAnsi="Arial" w:cs="Arial"/>
        </w:rPr>
        <w:t>used to support participants in staying in their home and community safely</w:t>
      </w:r>
      <w:r w:rsidRPr="00F332BE">
        <w:rPr>
          <w:rFonts w:ascii="Arial" w:hAnsi="Arial" w:cs="Arial"/>
        </w:rPr>
        <w:t xml:space="preserve">. </w:t>
      </w:r>
      <w:r w:rsidR="007F1740" w:rsidRPr="00F332BE">
        <w:rPr>
          <w:rFonts w:ascii="Arial" w:hAnsi="Arial" w:cs="Arial"/>
        </w:rPr>
        <w:t xml:space="preserve">For example, </w:t>
      </w:r>
      <w:r w:rsidR="000A370A" w:rsidRPr="00F332BE">
        <w:rPr>
          <w:rFonts w:ascii="Arial" w:hAnsi="Arial" w:cs="Arial"/>
        </w:rPr>
        <w:t>chore and personal care</w:t>
      </w:r>
      <w:r w:rsidR="00D04EA4" w:rsidRPr="00F332BE">
        <w:rPr>
          <w:rFonts w:ascii="Arial" w:hAnsi="Arial" w:cs="Arial"/>
        </w:rPr>
        <w:t xml:space="preserve">, non-medical home equipment (appliances, furniture), et al, </w:t>
      </w:r>
      <w:r w:rsidRPr="00F332BE">
        <w:rPr>
          <w:rFonts w:ascii="Arial" w:hAnsi="Arial" w:cs="Arial"/>
        </w:rPr>
        <w:t>can help reduce the length of stay in a facility, transitions between settings, and prevent elevation to a higher level of care and costlier institutionalization.</w:t>
      </w:r>
    </w:p>
    <w:p w14:paraId="222003B3" w14:textId="77777777" w:rsidR="00BE4DC8" w:rsidRPr="00B33B55" w:rsidRDefault="00BE4DC8" w:rsidP="00BE4DC8">
      <w:pPr>
        <w:outlineLvl w:val="0"/>
        <w:rPr>
          <w:rFonts w:ascii="Arial" w:hAnsi="Arial" w:cs="Arial"/>
        </w:rPr>
      </w:pPr>
    </w:p>
    <w:p w14:paraId="413AB2C8" w14:textId="77777777" w:rsidR="00BE4DC8" w:rsidRPr="00B33B55" w:rsidRDefault="00BE4DC8" w:rsidP="00B33B55">
      <w:pPr>
        <w:rPr>
          <w:rFonts w:ascii="Arial" w:eastAsia="Times New Roman" w:hAnsi="Arial" w:cs="Arial"/>
        </w:rPr>
      </w:pPr>
      <w:r w:rsidRPr="00B33B55">
        <w:rPr>
          <w:rFonts w:ascii="Arial" w:eastAsia="Times New Roman" w:hAnsi="Arial" w:cs="Arial"/>
        </w:rPr>
        <w:t>To help support the smooth transition of the program, this memo summarizes the Model of Care Workgroup’s recommendations to DHCS and CDA for HCBS CPM purchased services, including which purchased services should continue under the new benefit, which</w:t>
      </w:r>
      <w:r w:rsidR="00B33B55" w:rsidRPr="00B33B55">
        <w:rPr>
          <w:rFonts w:ascii="Arial" w:eastAsia="Times New Roman" w:hAnsi="Arial" w:cs="Arial"/>
        </w:rPr>
        <w:t xml:space="preserve"> types of purchases</w:t>
      </w:r>
      <w:r w:rsidRPr="00B33B55">
        <w:rPr>
          <w:rFonts w:ascii="Arial" w:eastAsia="Times New Roman" w:hAnsi="Arial" w:cs="Arial"/>
        </w:rPr>
        <w:t xml:space="preserve"> should be added to the benefit, as well as the criteria </w:t>
      </w:r>
      <w:r w:rsidR="00B33B55" w:rsidRPr="00B33B55">
        <w:rPr>
          <w:rFonts w:ascii="Arial" w:eastAsia="Times New Roman" w:hAnsi="Arial" w:cs="Arial"/>
        </w:rPr>
        <w:t xml:space="preserve">and processes </w:t>
      </w:r>
      <w:r w:rsidRPr="00B33B55">
        <w:rPr>
          <w:rFonts w:ascii="Arial" w:eastAsia="Times New Roman" w:hAnsi="Arial" w:cs="Arial"/>
        </w:rPr>
        <w:t>for purchas</w:t>
      </w:r>
      <w:r w:rsidR="00B33B55" w:rsidRPr="00B33B55">
        <w:rPr>
          <w:rFonts w:ascii="Arial" w:eastAsia="Times New Roman" w:hAnsi="Arial" w:cs="Arial"/>
        </w:rPr>
        <w:t>es.</w:t>
      </w:r>
    </w:p>
    <w:p w14:paraId="03E98AD0" w14:textId="77777777" w:rsidR="00B33B55" w:rsidRPr="00B33B55" w:rsidRDefault="00B33B55" w:rsidP="00B33B55">
      <w:pPr>
        <w:rPr>
          <w:rFonts w:ascii="Arial" w:eastAsia="Times New Roman" w:hAnsi="Arial" w:cs="Arial"/>
          <w:b/>
          <w:color w:val="000000" w:themeColor="text1"/>
        </w:rPr>
      </w:pPr>
    </w:p>
    <w:p w14:paraId="317EED1C" w14:textId="77777777" w:rsidR="00B33B55" w:rsidRPr="00B33B55" w:rsidRDefault="00B33B55" w:rsidP="00B33B55">
      <w:pPr>
        <w:spacing w:line="276" w:lineRule="auto"/>
        <w:rPr>
          <w:rFonts w:ascii="Arial" w:eastAsia="Times New Roman" w:hAnsi="Arial" w:cs="Arial"/>
          <w:b/>
          <w:color w:val="000000" w:themeColor="text1"/>
        </w:rPr>
      </w:pPr>
      <w:r w:rsidRPr="00B33B55">
        <w:rPr>
          <w:rFonts w:ascii="Arial" w:eastAsia="Times New Roman" w:hAnsi="Arial" w:cs="Arial"/>
          <w:b/>
          <w:color w:val="000000" w:themeColor="text1"/>
        </w:rPr>
        <w:t>Note: This document does not apply to any MSSP sites or health plans outside of the CCI counties.</w:t>
      </w:r>
    </w:p>
    <w:p w14:paraId="6D5B10B4" w14:textId="77777777" w:rsidR="00BE4DC8" w:rsidRPr="00B33B55" w:rsidRDefault="00BE4DC8" w:rsidP="001B59B4">
      <w:pPr>
        <w:spacing w:line="276" w:lineRule="auto"/>
        <w:jc w:val="center"/>
        <w:rPr>
          <w:rFonts w:ascii="Arial" w:eastAsia="Times New Roman" w:hAnsi="Arial" w:cs="Arial"/>
          <w:b/>
          <w:color w:val="000000" w:themeColor="text1"/>
        </w:rPr>
      </w:pPr>
    </w:p>
    <w:p w14:paraId="599CB8CF" w14:textId="77777777" w:rsidR="00BE4DC8" w:rsidRPr="00B33B55" w:rsidRDefault="00BE4DC8" w:rsidP="001B59B4">
      <w:pPr>
        <w:spacing w:line="276" w:lineRule="auto"/>
        <w:jc w:val="center"/>
        <w:rPr>
          <w:rFonts w:ascii="Arial" w:eastAsia="Times New Roman" w:hAnsi="Arial" w:cs="Arial"/>
          <w:b/>
          <w:color w:val="000000" w:themeColor="text1"/>
        </w:rPr>
      </w:pPr>
    </w:p>
    <w:p w14:paraId="6C6ABAEF" w14:textId="77777777" w:rsidR="00BE4DC8" w:rsidRPr="00B33B55" w:rsidRDefault="00BE4DC8" w:rsidP="001B59B4">
      <w:pPr>
        <w:spacing w:line="276" w:lineRule="auto"/>
        <w:jc w:val="center"/>
        <w:rPr>
          <w:rFonts w:ascii="Arial" w:eastAsia="Times New Roman" w:hAnsi="Arial" w:cs="Arial"/>
          <w:b/>
          <w:color w:val="000000" w:themeColor="text1"/>
        </w:rPr>
      </w:pPr>
    </w:p>
    <w:p w14:paraId="55924594" w14:textId="77777777" w:rsidR="00BE4DC8" w:rsidRDefault="00BE4DC8" w:rsidP="001B59B4">
      <w:pPr>
        <w:spacing w:line="276" w:lineRule="auto"/>
        <w:jc w:val="center"/>
        <w:rPr>
          <w:rFonts w:ascii="Arial" w:eastAsia="Times New Roman" w:hAnsi="Arial" w:cs="Arial"/>
          <w:b/>
          <w:color w:val="000000" w:themeColor="text1"/>
        </w:rPr>
      </w:pPr>
    </w:p>
    <w:p w14:paraId="67842830" w14:textId="77777777" w:rsidR="00B33B55" w:rsidRDefault="00B33B55" w:rsidP="001B59B4">
      <w:pPr>
        <w:spacing w:line="276" w:lineRule="auto"/>
        <w:jc w:val="center"/>
        <w:rPr>
          <w:rFonts w:ascii="Arial" w:eastAsia="Times New Roman" w:hAnsi="Arial" w:cs="Arial"/>
          <w:b/>
          <w:color w:val="000000" w:themeColor="text1"/>
        </w:rPr>
      </w:pPr>
    </w:p>
    <w:p w14:paraId="5406A914" w14:textId="77777777" w:rsidR="00B33B55" w:rsidRDefault="00B33B55" w:rsidP="001B59B4">
      <w:pPr>
        <w:spacing w:line="276" w:lineRule="auto"/>
        <w:jc w:val="center"/>
        <w:rPr>
          <w:rFonts w:ascii="Arial" w:eastAsia="Times New Roman" w:hAnsi="Arial" w:cs="Arial"/>
          <w:b/>
          <w:color w:val="000000" w:themeColor="text1"/>
        </w:rPr>
      </w:pPr>
    </w:p>
    <w:p w14:paraId="1E9156D5" w14:textId="77777777" w:rsidR="002D39B2" w:rsidRDefault="002D39B2" w:rsidP="001B59B4">
      <w:pPr>
        <w:spacing w:line="276" w:lineRule="auto"/>
        <w:jc w:val="center"/>
        <w:rPr>
          <w:rFonts w:ascii="Arial" w:eastAsia="Times New Roman" w:hAnsi="Arial" w:cs="Arial"/>
          <w:b/>
          <w:color w:val="000000" w:themeColor="text1"/>
        </w:rPr>
      </w:pPr>
    </w:p>
    <w:p w14:paraId="48BCF8CD" w14:textId="77777777" w:rsidR="00B33B55" w:rsidRDefault="00B33B55" w:rsidP="001B59B4">
      <w:pPr>
        <w:spacing w:line="276" w:lineRule="auto"/>
        <w:jc w:val="center"/>
        <w:rPr>
          <w:rFonts w:ascii="Arial" w:eastAsia="Times New Roman" w:hAnsi="Arial" w:cs="Arial"/>
          <w:b/>
          <w:color w:val="000000" w:themeColor="text1"/>
        </w:rPr>
      </w:pPr>
    </w:p>
    <w:p w14:paraId="14A1BEFF" w14:textId="77777777" w:rsidR="002E52E3" w:rsidRPr="00B33B55" w:rsidRDefault="00A213FA" w:rsidP="001B59B4">
      <w:pPr>
        <w:spacing w:line="276" w:lineRule="auto"/>
        <w:jc w:val="center"/>
        <w:rPr>
          <w:rFonts w:ascii="Arial" w:eastAsia="Times New Roman" w:hAnsi="Arial" w:cs="Arial"/>
          <w:b/>
          <w:color w:val="000000" w:themeColor="text1"/>
        </w:rPr>
      </w:pPr>
      <w:r w:rsidRPr="00B33B55">
        <w:rPr>
          <w:rFonts w:ascii="Arial" w:eastAsia="Times New Roman" w:hAnsi="Arial" w:cs="Arial"/>
          <w:b/>
          <w:color w:val="000000" w:themeColor="text1"/>
        </w:rPr>
        <w:t>Criteria for Purchase</w:t>
      </w:r>
      <w:r w:rsidR="00B33B55" w:rsidRPr="00B33B55">
        <w:rPr>
          <w:rFonts w:ascii="Arial" w:eastAsia="Times New Roman" w:hAnsi="Arial" w:cs="Arial"/>
          <w:b/>
          <w:color w:val="000000" w:themeColor="text1"/>
        </w:rPr>
        <w:t xml:space="preserve"> of</w:t>
      </w:r>
      <w:r w:rsidRPr="00B33B55">
        <w:rPr>
          <w:rFonts w:ascii="Arial" w:eastAsia="Times New Roman" w:hAnsi="Arial" w:cs="Arial"/>
          <w:b/>
          <w:color w:val="000000" w:themeColor="text1"/>
        </w:rPr>
        <w:t xml:space="preserve"> Services</w:t>
      </w:r>
    </w:p>
    <w:p w14:paraId="1C28ED0B" w14:textId="77777777" w:rsidR="00B02720" w:rsidRPr="00B33B55" w:rsidRDefault="00B02720" w:rsidP="00B02720">
      <w:pPr>
        <w:spacing w:line="276" w:lineRule="auto"/>
        <w:rPr>
          <w:rFonts w:ascii="Arial" w:eastAsia="Times New Roman" w:hAnsi="Arial" w:cs="Arial"/>
          <w:color w:val="000000" w:themeColor="text1"/>
        </w:rPr>
      </w:pPr>
    </w:p>
    <w:p w14:paraId="691A7F82" w14:textId="77777777" w:rsidR="00A213FA" w:rsidRPr="00B33B55" w:rsidRDefault="00A213FA" w:rsidP="00A213FA">
      <w:pPr>
        <w:rPr>
          <w:rFonts w:ascii="Arial" w:hAnsi="Arial" w:cs="Arial"/>
        </w:rPr>
      </w:pPr>
      <w:r w:rsidRPr="00B33B55">
        <w:rPr>
          <w:rFonts w:ascii="Arial" w:hAnsi="Arial" w:cs="Arial"/>
        </w:rPr>
        <w:t>The Model of Care Workgroup recommends that HCBS CPM providers use the following pro</w:t>
      </w:r>
      <w:r w:rsidR="00B33B55" w:rsidRPr="00B33B55">
        <w:rPr>
          <w:rFonts w:ascii="Arial" w:hAnsi="Arial" w:cs="Arial"/>
        </w:rPr>
        <w:t xml:space="preserve">cess to determine what purchases </w:t>
      </w:r>
      <w:r w:rsidRPr="00B33B55">
        <w:rPr>
          <w:rFonts w:ascii="Arial" w:hAnsi="Arial" w:cs="Arial"/>
        </w:rPr>
        <w:t>are necessary and allowable under the HCBS CPM benefit:</w:t>
      </w:r>
    </w:p>
    <w:p w14:paraId="389A8720" w14:textId="77777777" w:rsidR="00A213FA" w:rsidRPr="00B33B55" w:rsidRDefault="00A213FA" w:rsidP="00A213FA">
      <w:pPr>
        <w:rPr>
          <w:rFonts w:ascii="Arial" w:hAnsi="Arial" w:cs="Arial"/>
        </w:rPr>
      </w:pPr>
    </w:p>
    <w:p w14:paraId="1B3EBBDB" w14:textId="77777777" w:rsidR="00A213FA" w:rsidRPr="00B33B55" w:rsidRDefault="00A213FA" w:rsidP="00A213FA">
      <w:pPr>
        <w:pStyle w:val="ListParagraph"/>
        <w:numPr>
          <w:ilvl w:val="0"/>
          <w:numId w:val="33"/>
        </w:numPr>
        <w:rPr>
          <w:rFonts w:ascii="Arial" w:hAnsi="Arial" w:cs="Arial"/>
        </w:rPr>
      </w:pPr>
      <w:r w:rsidRPr="00B33B55">
        <w:rPr>
          <w:rFonts w:ascii="Arial" w:hAnsi="Arial" w:cs="Arial"/>
        </w:rPr>
        <w:t>Assessment and Development of the Care Plan</w:t>
      </w:r>
    </w:p>
    <w:p w14:paraId="50B9833E" w14:textId="77777777" w:rsidR="00A213FA" w:rsidRPr="00B33B55" w:rsidRDefault="00A213FA" w:rsidP="00A213FA">
      <w:pPr>
        <w:pStyle w:val="ListParagraph"/>
        <w:numPr>
          <w:ilvl w:val="1"/>
          <w:numId w:val="33"/>
        </w:numPr>
        <w:rPr>
          <w:rFonts w:ascii="Arial" w:hAnsi="Arial" w:cs="Arial"/>
        </w:rPr>
      </w:pPr>
      <w:r w:rsidRPr="00B33B55">
        <w:rPr>
          <w:rFonts w:ascii="Arial" w:hAnsi="Arial" w:cs="Arial"/>
        </w:rPr>
        <w:t xml:space="preserve">The provider </w:t>
      </w:r>
      <w:r w:rsidR="00B33B55" w:rsidRPr="00B33B55">
        <w:rPr>
          <w:rFonts w:ascii="Arial" w:hAnsi="Arial" w:cs="Arial"/>
        </w:rPr>
        <w:t>should</w:t>
      </w:r>
      <w:r w:rsidRPr="00B33B55">
        <w:rPr>
          <w:rFonts w:ascii="Arial" w:hAnsi="Arial" w:cs="Arial"/>
        </w:rPr>
        <w:t xml:space="preserve"> conduct an assessment identifying the need for services and/or </w:t>
      </w:r>
      <w:proofErr w:type="gramStart"/>
      <w:r w:rsidRPr="00B33B55">
        <w:rPr>
          <w:rFonts w:ascii="Arial" w:hAnsi="Arial" w:cs="Arial"/>
        </w:rPr>
        <w:t>items, and</w:t>
      </w:r>
      <w:proofErr w:type="gramEnd"/>
      <w:r w:rsidRPr="00B33B55">
        <w:rPr>
          <w:rFonts w:ascii="Arial" w:hAnsi="Arial" w:cs="Arial"/>
        </w:rPr>
        <w:t xml:space="preserve"> specify these services and/or items in the member’s care plan.</w:t>
      </w:r>
    </w:p>
    <w:p w14:paraId="77ECD4AF" w14:textId="77777777" w:rsidR="00A213FA" w:rsidRPr="00B33B55" w:rsidRDefault="00A213FA" w:rsidP="00A213FA">
      <w:pPr>
        <w:pStyle w:val="ListParagraph"/>
        <w:numPr>
          <w:ilvl w:val="1"/>
          <w:numId w:val="33"/>
        </w:numPr>
        <w:rPr>
          <w:rFonts w:ascii="Arial" w:hAnsi="Arial" w:cs="Arial"/>
        </w:rPr>
      </w:pPr>
      <w:r w:rsidRPr="00B33B55">
        <w:rPr>
          <w:rFonts w:ascii="Arial" w:hAnsi="Arial" w:cs="Arial"/>
        </w:rPr>
        <w:t xml:space="preserve">Services/items </w:t>
      </w:r>
      <w:r w:rsidR="00B33B55" w:rsidRPr="00B33B55">
        <w:rPr>
          <w:rFonts w:ascii="Arial" w:hAnsi="Arial" w:cs="Arial"/>
        </w:rPr>
        <w:t>should</w:t>
      </w:r>
      <w:r w:rsidRPr="00B33B55">
        <w:rPr>
          <w:rFonts w:ascii="Arial" w:hAnsi="Arial" w:cs="Arial"/>
        </w:rPr>
        <w:t xml:space="preserve"> be deemed necessary to preserve the participant’s health, improve functional ability, and assure maximum independence, thereby preventing elevation to a higher level of care and avoiding </w:t>
      </w:r>
      <w:proofErr w:type="gramStart"/>
      <w:r w:rsidRPr="00B33B55">
        <w:rPr>
          <w:rFonts w:ascii="Arial" w:hAnsi="Arial" w:cs="Arial"/>
        </w:rPr>
        <w:t>more costly</w:t>
      </w:r>
      <w:proofErr w:type="gramEnd"/>
      <w:r w:rsidRPr="00B33B55">
        <w:rPr>
          <w:rFonts w:ascii="Arial" w:hAnsi="Arial" w:cs="Arial"/>
        </w:rPr>
        <w:t xml:space="preserve"> institutionalization.</w:t>
      </w:r>
    </w:p>
    <w:p w14:paraId="53A844BE" w14:textId="77777777" w:rsidR="00A213FA" w:rsidRPr="00B33B55" w:rsidRDefault="00A213FA" w:rsidP="00A213FA">
      <w:pPr>
        <w:pStyle w:val="ListParagraph"/>
        <w:numPr>
          <w:ilvl w:val="1"/>
          <w:numId w:val="33"/>
        </w:numPr>
        <w:rPr>
          <w:rFonts w:ascii="Arial" w:hAnsi="Arial" w:cs="Arial"/>
        </w:rPr>
      </w:pPr>
      <w:r w:rsidRPr="00B33B55">
        <w:rPr>
          <w:rFonts w:ascii="Arial" w:hAnsi="Arial" w:cs="Arial"/>
        </w:rPr>
        <w:t xml:space="preserve">In </w:t>
      </w:r>
      <w:proofErr w:type="gramStart"/>
      <w:r w:rsidRPr="00B33B55">
        <w:rPr>
          <w:rFonts w:ascii="Arial" w:hAnsi="Arial" w:cs="Arial"/>
        </w:rPr>
        <w:t>an emergency situation</w:t>
      </w:r>
      <w:proofErr w:type="gramEnd"/>
      <w:r w:rsidRPr="00B33B55">
        <w:rPr>
          <w:rFonts w:ascii="Arial" w:hAnsi="Arial" w:cs="Arial"/>
        </w:rPr>
        <w:t xml:space="preserve">, new needs may be identified that are not part of the </w:t>
      </w:r>
      <w:r w:rsidR="00B33B55" w:rsidRPr="00B33B55">
        <w:rPr>
          <w:rFonts w:ascii="Arial" w:hAnsi="Arial" w:cs="Arial"/>
        </w:rPr>
        <w:t xml:space="preserve">regular </w:t>
      </w:r>
      <w:r w:rsidRPr="00B33B55">
        <w:rPr>
          <w:rFonts w:ascii="Arial" w:hAnsi="Arial" w:cs="Arial"/>
        </w:rPr>
        <w:t>care plan process.</w:t>
      </w:r>
    </w:p>
    <w:p w14:paraId="796220EF" w14:textId="77777777" w:rsidR="00A213FA" w:rsidRPr="00B33B55" w:rsidRDefault="00A213FA" w:rsidP="00A213FA">
      <w:pPr>
        <w:pStyle w:val="ListParagraph"/>
        <w:numPr>
          <w:ilvl w:val="2"/>
          <w:numId w:val="33"/>
        </w:numPr>
        <w:tabs>
          <w:tab w:val="left" w:pos="2790"/>
        </w:tabs>
        <w:rPr>
          <w:rFonts w:ascii="Arial" w:hAnsi="Arial" w:cs="Arial"/>
        </w:rPr>
      </w:pPr>
      <w:r w:rsidRPr="00B33B55">
        <w:rPr>
          <w:rFonts w:ascii="Arial" w:hAnsi="Arial" w:cs="Arial"/>
        </w:rPr>
        <w:t>In this situation, an Emergency Care Plan may be crafted to identify a service or purchase. The situation must be fully documented in the progress notes.</w:t>
      </w:r>
    </w:p>
    <w:p w14:paraId="449670F4" w14:textId="77777777" w:rsidR="00A213FA" w:rsidRPr="00B33B55" w:rsidRDefault="00A213FA" w:rsidP="00A213FA">
      <w:pPr>
        <w:pStyle w:val="ListParagraph"/>
        <w:numPr>
          <w:ilvl w:val="0"/>
          <w:numId w:val="33"/>
        </w:numPr>
        <w:rPr>
          <w:rFonts w:ascii="Arial" w:hAnsi="Arial" w:cs="Arial"/>
        </w:rPr>
      </w:pPr>
      <w:r w:rsidRPr="00B33B55">
        <w:rPr>
          <w:rFonts w:ascii="Arial" w:hAnsi="Arial" w:cs="Arial"/>
        </w:rPr>
        <w:t xml:space="preserve">Informal Resources: The provider </w:t>
      </w:r>
      <w:r w:rsidR="00B33B55" w:rsidRPr="00B33B55">
        <w:rPr>
          <w:rFonts w:ascii="Arial" w:hAnsi="Arial" w:cs="Arial"/>
        </w:rPr>
        <w:t>should</w:t>
      </w:r>
      <w:r w:rsidRPr="00B33B55">
        <w:rPr>
          <w:rFonts w:ascii="Arial" w:hAnsi="Arial" w:cs="Arial"/>
        </w:rPr>
        <w:t xml:space="preserve"> determine if the needed service can be provided by the beneficiary’s support network, for example, family members, friends, neighbor</w:t>
      </w:r>
      <w:bookmarkStart w:id="0" w:name="_GoBack"/>
      <w:bookmarkEnd w:id="0"/>
      <w:r w:rsidRPr="00B33B55">
        <w:rPr>
          <w:rFonts w:ascii="Arial" w:hAnsi="Arial" w:cs="Arial"/>
        </w:rPr>
        <w:t>s, and/or religious organizations, at no cost to the plan or public agencies.</w:t>
      </w:r>
    </w:p>
    <w:p w14:paraId="5A780B7E" w14:textId="77777777" w:rsidR="00A213FA" w:rsidRPr="00B33B55" w:rsidRDefault="00A213FA" w:rsidP="00A213FA">
      <w:pPr>
        <w:pStyle w:val="ListParagraph"/>
        <w:numPr>
          <w:ilvl w:val="0"/>
          <w:numId w:val="33"/>
        </w:numPr>
        <w:rPr>
          <w:rFonts w:ascii="Arial" w:hAnsi="Arial" w:cs="Arial"/>
        </w:rPr>
      </w:pPr>
      <w:r w:rsidRPr="00B33B55">
        <w:rPr>
          <w:rFonts w:ascii="Arial" w:hAnsi="Arial" w:cs="Arial"/>
        </w:rPr>
        <w:t>Formal (Referral) Resources: If informal resources are unavailable or have been exhausted:</w:t>
      </w:r>
    </w:p>
    <w:p w14:paraId="4A5DCC38" w14:textId="77777777" w:rsidR="00A213FA" w:rsidRPr="00B33B55" w:rsidRDefault="00A213FA" w:rsidP="00A213FA">
      <w:pPr>
        <w:pStyle w:val="ListParagraph"/>
        <w:numPr>
          <w:ilvl w:val="1"/>
          <w:numId w:val="33"/>
        </w:numPr>
        <w:rPr>
          <w:rFonts w:ascii="Arial" w:hAnsi="Arial" w:cs="Arial"/>
        </w:rPr>
      </w:pPr>
      <w:r w:rsidRPr="00B33B55">
        <w:rPr>
          <w:rFonts w:ascii="Arial" w:hAnsi="Arial" w:cs="Arial"/>
        </w:rPr>
        <w:t>The provider should then determine whether the service can be provided as a covered Medi-Cal benefit.</w:t>
      </w:r>
    </w:p>
    <w:p w14:paraId="0B706C52" w14:textId="77777777" w:rsidR="00A213FA" w:rsidRPr="00B33B55" w:rsidRDefault="00A213FA" w:rsidP="00A213FA">
      <w:pPr>
        <w:pStyle w:val="ListParagraph"/>
        <w:numPr>
          <w:ilvl w:val="1"/>
          <w:numId w:val="33"/>
        </w:numPr>
        <w:rPr>
          <w:rFonts w:ascii="Arial" w:hAnsi="Arial" w:cs="Arial"/>
        </w:rPr>
      </w:pPr>
      <w:r w:rsidRPr="00B33B55">
        <w:rPr>
          <w:rFonts w:ascii="Arial" w:hAnsi="Arial" w:cs="Arial"/>
        </w:rPr>
        <w:t xml:space="preserve">If the service cannot be provided as part of the beneficiary’s existing benefits, the provider </w:t>
      </w:r>
      <w:r w:rsidR="00B33B55" w:rsidRPr="00B33B55">
        <w:rPr>
          <w:rFonts w:ascii="Arial" w:hAnsi="Arial" w:cs="Arial"/>
        </w:rPr>
        <w:t xml:space="preserve">should </w:t>
      </w:r>
      <w:r w:rsidRPr="00B33B55">
        <w:rPr>
          <w:rFonts w:ascii="Arial" w:hAnsi="Arial" w:cs="Arial"/>
        </w:rPr>
        <w:t xml:space="preserve">determine if there is a community-based organization (CBO) or other resource that </w:t>
      </w:r>
      <w:r w:rsidR="00B33B55" w:rsidRPr="00B33B55">
        <w:rPr>
          <w:rFonts w:ascii="Arial" w:hAnsi="Arial" w:cs="Arial"/>
        </w:rPr>
        <w:t>will</w:t>
      </w:r>
      <w:r w:rsidRPr="00B33B55">
        <w:rPr>
          <w:rFonts w:ascii="Arial" w:hAnsi="Arial" w:cs="Arial"/>
        </w:rPr>
        <w:t xml:space="preserve"> provide the service.</w:t>
      </w:r>
    </w:p>
    <w:p w14:paraId="72F82F72" w14:textId="77777777" w:rsidR="00A213FA" w:rsidRPr="00B33B55" w:rsidRDefault="00A213FA" w:rsidP="00A213FA">
      <w:pPr>
        <w:pStyle w:val="ListParagraph"/>
        <w:numPr>
          <w:ilvl w:val="0"/>
          <w:numId w:val="33"/>
        </w:numPr>
        <w:rPr>
          <w:rFonts w:ascii="Arial" w:hAnsi="Arial" w:cs="Arial"/>
        </w:rPr>
      </w:pPr>
      <w:r w:rsidRPr="00B33B55">
        <w:rPr>
          <w:rFonts w:ascii="Arial" w:hAnsi="Arial" w:cs="Arial"/>
        </w:rPr>
        <w:t>If formal and informal resources have been exhausted or are otherwise unavailable, the HCBS CPM provider may purchase the service.</w:t>
      </w:r>
    </w:p>
    <w:p w14:paraId="36412851" w14:textId="77777777" w:rsidR="00B33B55" w:rsidRPr="00B33B55" w:rsidRDefault="00B33B55" w:rsidP="00B33B55">
      <w:pPr>
        <w:pStyle w:val="ListParagraph"/>
        <w:numPr>
          <w:ilvl w:val="1"/>
          <w:numId w:val="33"/>
        </w:numPr>
        <w:rPr>
          <w:rFonts w:ascii="Arial" w:hAnsi="Arial" w:cs="Arial"/>
        </w:rPr>
      </w:pPr>
      <w:r w:rsidRPr="00B33B55">
        <w:rPr>
          <w:rFonts w:ascii="Arial" w:hAnsi="Arial" w:cs="Arial"/>
        </w:rPr>
        <w:t>The purchase of these services will be coordinated between the health plan and HCBS</w:t>
      </w:r>
      <w:r w:rsidR="00F60ECD">
        <w:rPr>
          <w:rFonts w:ascii="Arial" w:hAnsi="Arial" w:cs="Arial"/>
        </w:rPr>
        <w:t xml:space="preserve"> </w:t>
      </w:r>
      <w:r w:rsidRPr="00B33B55">
        <w:rPr>
          <w:rFonts w:ascii="Arial" w:hAnsi="Arial" w:cs="Arial"/>
        </w:rPr>
        <w:t>CPM provider.</w:t>
      </w:r>
    </w:p>
    <w:p w14:paraId="7CB487A9" w14:textId="77777777" w:rsidR="00A213FA" w:rsidRPr="00B33B55" w:rsidRDefault="00B33B55" w:rsidP="00A213FA">
      <w:pPr>
        <w:pStyle w:val="ListParagraph"/>
        <w:numPr>
          <w:ilvl w:val="0"/>
          <w:numId w:val="33"/>
        </w:numPr>
        <w:rPr>
          <w:rFonts w:ascii="Arial" w:hAnsi="Arial" w:cs="Arial"/>
        </w:rPr>
      </w:pPr>
      <w:r w:rsidRPr="00B33B55">
        <w:rPr>
          <w:rFonts w:ascii="Arial" w:hAnsi="Arial" w:cs="Arial"/>
        </w:rPr>
        <w:t xml:space="preserve">Plans should have access to the data and information needed to conduct appropriate </w:t>
      </w:r>
      <w:r w:rsidR="00A213FA" w:rsidRPr="00B33B55">
        <w:rPr>
          <w:rFonts w:ascii="Arial" w:hAnsi="Arial" w:cs="Arial"/>
        </w:rPr>
        <w:t>oversight and audit of records, to determine what services have been purchased, and whether these purchases comply with HCBS CPM guidelines.</w:t>
      </w:r>
    </w:p>
    <w:p w14:paraId="34C54F3D" w14:textId="77777777" w:rsidR="00A213FA" w:rsidRPr="00B33B55" w:rsidRDefault="00A213FA" w:rsidP="00A213FA">
      <w:pPr>
        <w:pStyle w:val="ListParagraph"/>
        <w:numPr>
          <w:ilvl w:val="1"/>
          <w:numId w:val="33"/>
        </w:numPr>
        <w:rPr>
          <w:rFonts w:ascii="Arial" w:hAnsi="Arial" w:cs="Arial"/>
        </w:rPr>
      </w:pPr>
      <w:r w:rsidRPr="00B33B55">
        <w:rPr>
          <w:rFonts w:ascii="Arial" w:hAnsi="Arial" w:cs="Arial"/>
        </w:rPr>
        <w:t>DHCS should provide guidance to plans about oversight of purchased services.</w:t>
      </w:r>
    </w:p>
    <w:p w14:paraId="107D9FEB" w14:textId="77777777" w:rsidR="00BE4DC8" w:rsidRPr="00B33B55" w:rsidRDefault="00BE4DC8" w:rsidP="00BE4DC8">
      <w:pPr>
        <w:pStyle w:val="ListParagraph"/>
        <w:ind w:left="1440"/>
        <w:rPr>
          <w:rFonts w:ascii="Arial" w:hAnsi="Arial" w:cs="Arial"/>
        </w:rPr>
      </w:pPr>
    </w:p>
    <w:p w14:paraId="3E6CBC29" w14:textId="77777777" w:rsidR="002457DB" w:rsidRDefault="00A213FA" w:rsidP="00BE4DC8">
      <w:pPr>
        <w:rPr>
          <w:rFonts w:ascii="Arial" w:hAnsi="Arial" w:cs="Arial"/>
        </w:rPr>
      </w:pPr>
      <w:r w:rsidRPr="00B33B55">
        <w:rPr>
          <w:rFonts w:ascii="Arial" w:hAnsi="Arial" w:cs="Arial"/>
        </w:rPr>
        <w:t>Licensing and certification requirements for specific Waiver Services are summarized in Appendix 26</w:t>
      </w:r>
      <w:r w:rsidR="0045275B">
        <w:rPr>
          <w:rFonts w:ascii="Arial" w:hAnsi="Arial" w:cs="Arial"/>
        </w:rPr>
        <w:t xml:space="preserve"> of the MSSP Site Manual</w:t>
      </w:r>
      <w:r w:rsidR="002457DB">
        <w:rPr>
          <w:rFonts w:ascii="Arial" w:hAnsi="Arial" w:cs="Arial"/>
        </w:rPr>
        <w:t xml:space="preserve"> at:</w:t>
      </w:r>
    </w:p>
    <w:p w14:paraId="6C7B36CD" w14:textId="77777777" w:rsidR="0045275B" w:rsidRDefault="0045275B" w:rsidP="00BE4DC8">
      <w:pPr>
        <w:rPr>
          <w:rFonts w:ascii="Arial" w:hAnsi="Arial" w:cs="Arial"/>
        </w:rPr>
      </w:pPr>
      <w:r>
        <w:rPr>
          <w:rFonts w:ascii="Arial" w:hAnsi="Arial" w:cs="Arial"/>
        </w:rPr>
        <w:t>(</w:t>
      </w:r>
      <w:hyperlink r:id="rId8" w:history="1">
        <w:r w:rsidRPr="00816370">
          <w:rPr>
            <w:rStyle w:val="Hyperlink"/>
            <w:rFonts w:ascii="Arial" w:hAnsi="Arial" w:cs="Arial"/>
          </w:rPr>
          <w:t>https://www.aging.ca.gov/docs/MSSP/SiteManual/Appendices/Ap%2026%20Licensure%20and%20Certification%20-%20Provider%20Qualifications.pdf</w:t>
        </w:r>
      </w:hyperlink>
    </w:p>
    <w:p w14:paraId="30B26B85" w14:textId="77777777" w:rsidR="00412A3F" w:rsidRPr="00B33B55" w:rsidRDefault="00A213FA" w:rsidP="001B59B4">
      <w:pPr>
        <w:spacing w:line="276" w:lineRule="auto"/>
        <w:jc w:val="center"/>
        <w:rPr>
          <w:rFonts w:ascii="Arial" w:eastAsia="Times New Roman" w:hAnsi="Arial" w:cs="Arial"/>
          <w:b/>
        </w:rPr>
      </w:pPr>
      <w:bookmarkStart w:id="1" w:name="_Hlk525827243"/>
      <w:r w:rsidRPr="00B33B55">
        <w:rPr>
          <w:rFonts w:ascii="Arial" w:eastAsia="Times New Roman" w:hAnsi="Arial" w:cs="Arial"/>
          <w:b/>
        </w:rPr>
        <w:lastRenderedPageBreak/>
        <w:t>List of Purchased Services</w:t>
      </w:r>
    </w:p>
    <w:bookmarkEnd w:id="1"/>
    <w:p w14:paraId="47D3A548" w14:textId="77777777" w:rsidR="00B02720" w:rsidRPr="00B33B55" w:rsidRDefault="00B02720" w:rsidP="00B02720">
      <w:pPr>
        <w:spacing w:line="276" w:lineRule="auto"/>
        <w:rPr>
          <w:rFonts w:ascii="Arial" w:eastAsia="Times New Roman" w:hAnsi="Arial" w:cs="Arial"/>
          <w:color w:val="FF0000"/>
        </w:rPr>
      </w:pPr>
    </w:p>
    <w:p w14:paraId="1D789E70" w14:textId="77777777" w:rsidR="00A213FA" w:rsidRPr="00B33B55" w:rsidRDefault="00A213FA" w:rsidP="00A213FA">
      <w:pPr>
        <w:rPr>
          <w:rFonts w:ascii="Arial" w:hAnsi="Arial" w:cs="Arial"/>
          <w:b/>
        </w:rPr>
      </w:pPr>
      <w:r w:rsidRPr="00B33B55">
        <w:rPr>
          <w:rFonts w:ascii="Arial" w:hAnsi="Arial" w:cs="Arial"/>
          <w:b/>
        </w:rPr>
        <w:t>Existing Purchased Services</w:t>
      </w:r>
    </w:p>
    <w:p w14:paraId="3762FC04" w14:textId="77777777" w:rsidR="00E957AE" w:rsidRDefault="00E957AE" w:rsidP="00A213FA">
      <w:pPr>
        <w:rPr>
          <w:rFonts w:ascii="Arial" w:hAnsi="Arial" w:cs="Arial"/>
        </w:rPr>
      </w:pPr>
    </w:p>
    <w:p w14:paraId="6B6AEA4F" w14:textId="77777777" w:rsidR="00A213FA" w:rsidRPr="00B33B55" w:rsidRDefault="00A213FA" w:rsidP="00A213FA">
      <w:pPr>
        <w:rPr>
          <w:rFonts w:ascii="Arial" w:hAnsi="Arial" w:cs="Arial"/>
        </w:rPr>
      </w:pPr>
      <w:r w:rsidRPr="00B33B55">
        <w:rPr>
          <w:rFonts w:ascii="Arial" w:hAnsi="Arial" w:cs="Arial"/>
        </w:rPr>
        <w:t>The following list includes but is not limited to these categories and examples of purchased services, not otherwise covered by Medi-Cal.</w:t>
      </w:r>
    </w:p>
    <w:p w14:paraId="7FABD620" w14:textId="77777777" w:rsidR="00BE4DC8" w:rsidRPr="00B33B55" w:rsidRDefault="00BE4DC8" w:rsidP="00A213FA">
      <w:pPr>
        <w:rPr>
          <w:rFonts w:ascii="Arial" w:hAnsi="Arial" w:cs="Arial"/>
        </w:rPr>
      </w:pPr>
    </w:p>
    <w:p w14:paraId="7E428C85" w14:textId="77777777" w:rsidR="00BE4DC8" w:rsidRPr="00B33B55" w:rsidRDefault="00BE4DC8" w:rsidP="00A213FA">
      <w:pPr>
        <w:rPr>
          <w:rFonts w:ascii="Arial" w:hAnsi="Arial" w:cs="Arial"/>
        </w:rPr>
      </w:pPr>
    </w:p>
    <w:tbl>
      <w:tblPr>
        <w:tblW w:w="9363" w:type="dxa"/>
        <w:tblInd w:w="-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363"/>
      </w:tblGrid>
      <w:tr w:rsidR="00BE4DC8" w:rsidRPr="00B33B55" w14:paraId="12EA0C57" w14:textId="77777777" w:rsidTr="00BE4DC8">
        <w:trPr>
          <w:trHeight w:val="270"/>
        </w:trPr>
        <w:tc>
          <w:tcPr>
            <w:tcW w:w="9363" w:type="dxa"/>
            <w:tcBorders>
              <w:top w:val="single" w:sz="8" w:space="0" w:color="auto"/>
              <w:left w:val="single" w:sz="8" w:space="0" w:color="auto"/>
              <w:bottom w:val="single" w:sz="8" w:space="0" w:color="auto"/>
              <w:right w:val="single" w:sz="8" w:space="0" w:color="auto"/>
            </w:tcBorders>
            <w:shd w:val="clear" w:color="auto" w:fill="DCE6F1"/>
            <w:hideMark/>
          </w:tcPr>
          <w:p w14:paraId="5A15D71B" w14:textId="77777777" w:rsidR="00BE4DC8" w:rsidRPr="00B33B55" w:rsidRDefault="00BE4DC8">
            <w:pPr>
              <w:jc w:val="center"/>
              <w:rPr>
                <w:rFonts w:ascii="Arial" w:hAnsi="Arial" w:cs="Arial"/>
                <w:b/>
                <w:bCs/>
                <w:color w:val="000000"/>
              </w:rPr>
            </w:pPr>
            <w:r w:rsidRPr="00B33B55">
              <w:rPr>
                <w:rFonts w:ascii="Arial" w:hAnsi="Arial" w:cs="Arial"/>
                <w:b/>
                <w:bCs/>
                <w:color w:val="000000"/>
              </w:rPr>
              <w:t>PURCHASED SERVICES DESCRIPTION</w:t>
            </w:r>
          </w:p>
        </w:tc>
      </w:tr>
      <w:tr w:rsidR="00BE4DC8" w:rsidRPr="00B33B55" w14:paraId="5ECC2427" w14:textId="77777777" w:rsidTr="002457DB">
        <w:trPr>
          <w:trHeight w:val="270"/>
        </w:trPr>
        <w:tc>
          <w:tcPr>
            <w:tcW w:w="9363" w:type="dxa"/>
            <w:tcBorders>
              <w:top w:val="single" w:sz="8" w:space="0" w:color="auto"/>
              <w:left w:val="single" w:sz="8" w:space="0" w:color="auto"/>
              <w:bottom w:val="single" w:sz="8" w:space="0" w:color="auto"/>
              <w:right w:val="single" w:sz="8" w:space="0" w:color="auto"/>
            </w:tcBorders>
            <w:shd w:val="clear" w:color="auto" w:fill="B4C6E7" w:themeFill="accent1" w:themeFillTint="66"/>
            <w:hideMark/>
          </w:tcPr>
          <w:p w14:paraId="37E81DCD" w14:textId="77777777" w:rsidR="00BE4DC8" w:rsidRPr="00B33B55" w:rsidRDefault="00BE4DC8">
            <w:pPr>
              <w:rPr>
                <w:rFonts w:ascii="Arial" w:hAnsi="Arial" w:cs="Arial"/>
              </w:rPr>
            </w:pPr>
            <w:r w:rsidRPr="00B33B55">
              <w:rPr>
                <w:rFonts w:ascii="Arial" w:hAnsi="Arial" w:cs="Arial"/>
                <w:color w:val="000000"/>
              </w:rPr>
              <w:t xml:space="preserve">Adult Day Care – </w:t>
            </w:r>
            <w:r w:rsidRPr="00B33B55">
              <w:rPr>
                <w:rFonts w:ascii="Arial" w:hAnsi="Arial" w:cs="Arial"/>
              </w:rPr>
              <w:t>Community-based programs that provide non-medical care to persons in need of personal care services, supervision or assistance essential for sustaining the activities of daily living or for the protection of the individual for less than a 24-hour basis.</w:t>
            </w:r>
          </w:p>
        </w:tc>
      </w:tr>
      <w:tr w:rsidR="00BE4DC8" w:rsidRPr="00B33B55" w14:paraId="3964DDC9" w14:textId="77777777" w:rsidTr="00BE4DC8">
        <w:trPr>
          <w:trHeight w:val="270"/>
        </w:trPr>
        <w:tc>
          <w:tcPr>
            <w:tcW w:w="9363" w:type="dxa"/>
            <w:tcBorders>
              <w:top w:val="single" w:sz="8" w:space="0" w:color="auto"/>
              <w:left w:val="single" w:sz="8" w:space="0" w:color="auto"/>
              <w:bottom w:val="single" w:sz="8" w:space="0" w:color="auto"/>
              <w:right w:val="single" w:sz="8" w:space="0" w:color="auto"/>
            </w:tcBorders>
            <w:shd w:val="clear" w:color="auto" w:fill="DCE6F1"/>
            <w:vAlign w:val="bottom"/>
            <w:hideMark/>
          </w:tcPr>
          <w:p w14:paraId="5893CE79" w14:textId="01D41903" w:rsidR="00BE4DC8" w:rsidRPr="00B33B55" w:rsidRDefault="00E266F1">
            <w:pPr>
              <w:rPr>
                <w:rFonts w:ascii="Arial" w:hAnsi="Arial" w:cs="Arial"/>
                <w:color w:val="000000"/>
              </w:rPr>
            </w:pPr>
            <w:r w:rsidRPr="00B33B55">
              <w:rPr>
                <w:rFonts w:ascii="Arial" w:hAnsi="Arial" w:cs="Arial"/>
                <w:color w:val="000000"/>
              </w:rPr>
              <w:t>Communication-Translation and Devices – Communication services for participants with special communications problems and persons with physical impairments likely to result in a medical emergency; the provision of translation and interpretive services; and the rental or purchase of assistance services, installation of a telephone, and assistance devices for communication for participants who are at risk of injury or institutionalization, for example, Emergency Response Systems (ERS) such as LifeLine.</w:t>
            </w:r>
          </w:p>
        </w:tc>
      </w:tr>
      <w:tr w:rsidR="00F81DF4" w:rsidRPr="00B33B55" w14:paraId="75BC82AB" w14:textId="77777777" w:rsidTr="00E266F1">
        <w:trPr>
          <w:trHeight w:val="270"/>
        </w:trPr>
        <w:tc>
          <w:tcPr>
            <w:tcW w:w="9363" w:type="dxa"/>
            <w:tcBorders>
              <w:top w:val="single" w:sz="8" w:space="0" w:color="auto"/>
              <w:left w:val="single" w:sz="8" w:space="0" w:color="auto"/>
              <w:bottom w:val="single" w:sz="8" w:space="0" w:color="auto"/>
              <w:right w:val="single" w:sz="8" w:space="0" w:color="auto"/>
            </w:tcBorders>
            <w:shd w:val="clear" w:color="auto" w:fill="B4C6E7" w:themeFill="accent1" w:themeFillTint="66"/>
            <w:vAlign w:val="bottom"/>
            <w:hideMark/>
          </w:tcPr>
          <w:p w14:paraId="58C0C117" w14:textId="77777777" w:rsidR="00F81DF4" w:rsidRPr="00B33B55" w:rsidRDefault="00F81DF4" w:rsidP="00F81DF4">
            <w:pPr>
              <w:rPr>
                <w:rFonts w:ascii="Arial" w:hAnsi="Arial" w:cs="Arial"/>
                <w:color w:val="000000"/>
              </w:rPr>
            </w:pPr>
            <w:r w:rsidRPr="00B33B55">
              <w:rPr>
                <w:rFonts w:ascii="Arial" w:hAnsi="Arial" w:cs="Arial"/>
                <w:color w:val="000000"/>
              </w:rPr>
              <w:t>Emergency Move – Services and activities to facilitate a smooth transition from one living situation to another.</w:t>
            </w:r>
          </w:p>
        </w:tc>
      </w:tr>
      <w:tr w:rsidR="00F81DF4" w:rsidRPr="00B33B55" w14:paraId="4C3FB21B" w14:textId="77777777" w:rsidTr="00E266F1">
        <w:trPr>
          <w:trHeight w:val="270"/>
        </w:trPr>
        <w:tc>
          <w:tcPr>
            <w:tcW w:w="9363" w:type="dxa"/>
            <w:tcBorders>
              <w:top w:val="single" w:sz="8" w:space="0" w:color="auto"/>
              <w:left w:val="single" w:sz="8" w:space="0" w:color="auto"/>
              <w:bottom w:val="single" w:sz="8" w:space="0" w:color="auto"/>
              <w:right w:val="single" w:sz="8" w:space="0" w:color="auto"/>
            </w:tcBorders>
            <w:shd w:val="clear" w:color="auto" w:fill="DCE6F1"/>
            <w:vAlign w:val="bottom"/>
            <w:hideMark/>
          </w:tcPr>
          <w:p w14:paraId="5BEDC8DD" w14:textId="77777777" w:rsidR="00F81DF4" w:rsidRPr="00B33B55" w:rsidRDefault="00F81DF4" w:rsidP="00F81DF4">
            <w:pPr>
              <w:rPr>
                <w:rFonts w:ascii="Arial" w:hAnsi="Arial" w:cs="Arial"/>
                <w:color w:val="000000"/>
              </w:rPr>
            </w:pPr>
            <w:r w:rsidRPr="00B33B55">
              <w:rPr>
                <w:rFonts w:ascii="Arial" w:hAnsi="Arial" w:cs="Arial"/>
                <w:color w:val="000000"/>
              </w:rPr>
              <w:t xml:space="preserve">Emergency or Restorative Utility Services – Payment of utilities either when the participant has no other resources to meet this need and the potential shut </w:t>
            </w:r>
            <w:proofErr w:type="gramStart"/>
            <w:r w:rsidRPr="00B33B55">
              <w:rPr>
                <w:rFonts w:ascii="Arial" w:hAnsi="Arial" w:cs="Arial"/>
                <w:color w:val="000000"/>
              </w:rPr>
              <w:t>off of</w:t>
            </w:r>
            <w:proofErr w:type="gramEnd"/>
            <w:r w:rsidRPr="00B33B55">
              <w:rPr>
                <w:rFonts w:ascii="Arial" w:hAnsi="Arial" w:cs="Arial"/>
                <w:color w:val="000000"/>
              </w:rPr>
              <w:t xml:space="preserve"> services would place the health and safety of the participant in jeopardy, or to assist the patient in obtaining or restoring services necessary to ensure their health, welfare and safety in their residence.</w:t>
            </w:r>
          </w:p>
        </w:tc>
      </w:tr>
      <w:tr w:rsidR="00A248D7" w:rsidRPr="00B33B55" w14:paraId="6F64AC58" w14:textId="77777777" w:rsidTr="002457DB">
        <w:trPr>
          <w:trHeight w:val="270"/>
        </w:trPr>
        <w:tc>
          <w:tcPr>
            <w:tcW w:w="9363" w:type="dxa"/>
            <w:tcBorders>
              <w:top w:val="single" w:sz="8" w:space="0" w:color="auto"/>
              <w:left w:val="single" w:sz="8" w:space="0" w:color="auto"/>
              <w:bottom w:val="single" w:sz="8" w:space="0" w:color="auto"/>
              <w:right w:val="single" w:sz="8" w:space="0" w:color="auto"/>
            </w:tcBorders>
            <w:shd w:val="clear" w:color="auto" w:fill="B4C6E7" w:themeFill="accent1" w:themeFillTint="66"/>
            <w:vAlign w:val="bottom"/>
          </w:tcPr>
          <w:p w14:paraId="77D2DC91" w14:textId="19512610" w:rsidR="00A248D7" w:rsidRPr="00B33B55" w:rsidRDefault="00A248D7">
            <w:pPr>
              <w:rPr>
                <w:rFonts w:ascii="Arial" w:hAnsi="Arial" w:cs="Arial"/>
                <w:color w:val="000000"/>
              </w:rPr>
            </w:pPr>
            <w:r w:rsidRPr="00B33B55">
              <w:rPr>
                <w:rFonts w:ascii="Arial" w:hAnsi="Arial" w:cs="Arial"/>
                <w:color w:val="000000"/>
              </w:rPr>
              <w:t xml:space="preserve">Food – The purchase of food to support a participant’s return home following institutionalization, </w:t>
            </w:r>
            <w:r w:rsidRPr="00B33B55">
              <w:rPr>
                <w:rFonts w:ascii="Arial" w:hAnsi="Arial" w:cs="Arial"/>
              </w:rPr>
              <w:t>transition from homelessness to housing or emergency move (such as displacement or eviction)</w:t>
            </w:r>
            <w:r w:rsidRPr="00B33B55">
              <w:rPr>
                <w:rFonts w:ascii="Arial" w:hAnsi="Arial" w:cs="Arial"/>
                <w:color w:val="000000"/>
              </w:rPr>
              <w:t>. This also includes the purchase of oral nutritional supplements.</w:t>
            </w:r>
          </w:p>
        </w:tc>
      </w:tr>
      <w:tr w:rsidR="00A248D7" w:rsidRPr="00B33B55" w14:paraId="5061E683" w14:textId="77777777" w:rsidTr="00E266F1">
        <w:trPr>
          <w:trHeight w:val="270"/>
        </w:trPr>
        <w:tc>
          <w:tcPr>
            <w:tcW w:w="9363" w:type="dxa"/>
            <w:tcBorders>
              <w:top w:val="single" w:sz="8" w:space="0" w:color="auto"/>
              <w:left w:val="single" w:sz="8" w:space="0" w:color="auto"/>
              <w:bottom w:val="single" w:sz="8" w:space="0" w:color="auto"/>
              <w:right w:val="single" w:sz="8" w:space="0" w:color="auto"/>
            </w:tcBorders>
            <w:shd w:val="clear" w:color="auto" w:fill="DCE6F1"/>
            <w:vAlign w:val="bottom"/>
          </w:tcPr>
          <w:p w14:paraId="57B831F8" w14:textId="41D72B65" w:rsidR="00A248D7" w:rsidRPr="00B33B55" w:rsidRDefault="00A248D7">
            <w:pPr>
              <w:rPr>
                <w:rFonts w:ascii="Arial" w:hAnsi="Arial" w:cs="Arial"/>
                <w:color w:val="000000"/>
              </w:rPr>
            </w:pPr>
            <w:r w:rsidRPr="00B33B55">
              <w:rPr>
                <w:rFonts w:ascii="Arial" w:hAnsi="Arial" w:cs="Arial"/>
                <w:color w:val="000000"/>
              </w:rPr>
              <w:t xml:space="preserve">Meals – Meals either served in congregate meal settings for participants who </w:t>
            </w:r>
            <w:proofErr w:type="gramStart"/>
            <w:r w:rsidRPr="00B33B55">
              <w:rPr>
                <w:rFonts w:ascii="Arial" w:hAnsi="Arial" w:cs="Arial"/>
                <w:color w:val="000000"/>
              </w:rPr>
              <w:t>are able to</w:t>
            </w:r>
            <w:proofErr w:type="gramEnd"/>
            <w:r w:rsidRPr="00B33B55">
              <w:rPr>
                <w:rFonts w:ascii="Arial" w:hAnsi="Arial" w:cs="Arial"/>
                <w:color w:val="000000"/>
              </w:rPr>
              <w:t xml:space="preserve"> leave their homes or require the social stimulation of a group environment in order to maintain a balanced diet, or prepared meals for participants who are homebound, unable to prepare their own meals and have no caregiver at home to prepare meals from them.</w:t>
            </w:r>
          </w:p>
        </w:tc>
      </w:tr>
      <w:tr w:rsidR="00A248D7" w:rsidRPr="00B33B55" w14:paraId="75216E75" w14:textId="77777777" w:rsidTr="002457DB">
        <w:trPr>
          <w:trHeight w:val="270"/>
        </w:trPr>
        <w:tc>
          <w:tcPr>
            <w:tcW w:w="9363" w:type="dxa"/>
            <w:tcBorders>
              <w:top w:val="single" w:sz="8" w:space="0" w:color="auto"/>
              <w:left w:val="single" w:sz="8" w:space="0" w:color="auto"/>
              <w:bottom w:val="single" w:sz="8" w:space="0" w:color="auto"/>
              <w:right w:val="single" w:sz="8" w:space="0" w:color="auto"/>
            </w:tcBorders>
            <w:shd w:val="clear" w:color="auto" w:fill="B4C6E7" w:themeFill="accent1" w:themeFillTint="66"/>
            <w:vAlign w:val="bottom"/>
          </w:tcPr>
          <w:p w14:paraId="402561B0" w14:textId="7B8A7FFE" w:rsidR="00A248D7" w:rsidRPr="00B33B55" w:rsidRDefault="00A248D7">
            <w:pPr>
              <w:rPr>
                <w:rFonts w:ascii="Arial" w:hAnsi="Arial" w:cs="Arial"/>
                <w:color w:val="000000"/>
              </w:rPr>
            </w:pPr>
            <w:r w:rsidRPr="00B33B55">
              <w:rPr>
                <w:rFonts w:ascii="Arial" w:hAnsi="Arial" w:cs="Arial"/>
                <w:color w:val="000000"/>
              </w:rPr>
              <w:t>Minor Home Repair/Maintenance – Repairs that do not involve major structural changes or major repairs to the dwelling. The repairs are needed to ensure safety and independence, including ramp, handrails, wiring, plumbing, pest removal, etc.</w:t>
            </w:r>
          </w:p>
        </w:tc>
      </w:tr>
      <w:tr w:rsidR="00E266F1" w:rsidRPr="00B33B55" w14:paraId="1CCC80BE" w14:textId="77777777" w:rsidTr="00E266F1">
        <w:trPr>
          <w:trHeight w:val="270"/>
        </w:trPr>
        <w:tc>
          <w:tcPr>
            <w:tcW w:w="9363" w:type="dxa"/>
            <w:tcBorders>
              <w:top w:val="single" w:sz="8" w:space="0" w:color="auto"/>
              <w:left w:val="single" w:sz="8" w:space="0" w:color="auto"/>
              <w:bottom w:val="single" w:sz="8" w:space="0" w:color="auto"/>
              <w:right w:val="single" w:sz="8" w:space="0" w:color="auto"/>
            </w:tcBorders>
            <w:shd w:val="clear" w:color="auto" w:fill="DCE6F1"/>
            <w:vAlign w:val="bottom"/>
          </w:tcPr>
          <w:p w14:paraId="38B1EC8C" w14:textId="5095B3A6" w:rsidR="00E266F1" w:rsidRPr="00B33B55" w:rsidRDefault="00E266F1">
            <w:pPr>
              <w:rPr>
                <w:rFonts w:ascii="Arial" w:hAnsi="Arial" w:cs="Arial"/>
                <w:color w:val="000000"/>
              </w:rPr>
            </w:pPr>
            <w:r w:rsidRPr="00B33B55">
              <w:rPr>
                <w:rFonts w:ascii="Arial" w:hAnsi="Arial" w:cs="Arial"/>
                <w:color w:val="000000"/>
              </w:rPr>
              <w:t>Money Management – A service that assists the participant with activities related to managing money and the effective handling of personal finances.</w:t>
            </w:r>
          </w:p>
        </w:tc>
      </w:tr>
      <w:tr w:rsidR="00BE4DC8" w:rsidRPr="00B33B55" w14:paraId="4417108D" w14:textId="77777777" w:rsidTr="002457DB">
        <w:trPr>
          <w:trHeight w:val="270"/>
        </w:trPr>
        <w:tc>
          <w:tcPr>
            <w:tcW w:w="9363" w:type="dxa"/>
            <w:tcBorders>
              <w:top w:val="single" w:sz="8" w:space="0" w:color="auto"/>
              <w:left w:val="single" w:sz="8" w:space="0" w:color="auto"/>
              <w:bottom w:val="single" w:sz="8" w:space="0" w:color="auto"/>
              <w:right w:val="single" w:sz="8" w:space="0" w:color="auto"/>
            </w:tcBorders>
            <w:shd w:val="clear" w:color="auto" w:fill="B4C6E7" w:themeFill="accent1" w:themeFillTint="66"/>
            <w:vAlign w:val="bottom"/>
            <w:hideMark/>
          </w:tcPr>
          <w:p w14:paraId="6D9D3C16" w14:textId="77777777" w:rsidR="00BE4DC8" w:rsidRPr="00B33B55" w:rsidRDefault="00BE4DC8">
            <w:pPr>
              <w:rPr>
                <w:rFonts w:ascii="Arial" w:hAnsi="Arial" w:cs="Arial"/>
                <w:color w:val="000000"/>
              </w:rPr>
            </w:pPr>
            <w:r w:rsidRPr="00B33B55">
              <w:rPr>
                <w:rFonts w:ascii="Arial" w:hAnsi="Arial" w:cs="Arial"/>
                <w:color w:val="000000"/>
              </w:rPr>
              <w:t>Non-medical Home Equipment – A</w:t>
            </w:r>
            <w:r w:rsidRPr="00B33B55">
              <w:rPr>
                <w:rFonts w:ascii="Arial" w:hAnsi="Arial" w:cs="Arial"/>
              </w:rPr>
              <w:t>ssistive devices, appliances, and supplies that are necessary to assure the participant’s health, safety and independence, including appliances, furniture, and emergency supply kits.</w:t>
            </w:r>
          </w:p>
        </w:tc>
      </w:tr>
      <w:tr w:rsidR="00BE4DC8" w:rsidRPr="00B33B55" w14:paraId="2C1F222C" w14:textId="77777777" w:rsidTr="00F81DF4">
        <w:trPr>
          <w:trHeight w:val="270"/>
        </w:trPr>
        <w:tc>
          <w:tcPr>
            <w:tcW w:w="9363" w:type="dxa"/>
            <w:tcBorders>
              <w:top w:val="single" w:sz="8" w:space="0" w:color="auto"/>
              <w:left w:val="single" w:sz="8" w:space="0" w:color="auto"/>
              <w:bottom w:val="single" w:sz="8" w:space="0" w:color="auto"/>
              <w:right w:val="single" w:sz="8" w:space="0" w:color="auto"/>
            </w:tcBorders>
            <w:shd w:val="clear" w:color="auto" w:fill="DCE6F1"/>
            <w:vAlign w:val="bottom"/>
          </w:tcPr>
          <w:p w14:paraId="2E632214" w14:textId="0CEFD97D" w:rsidR="00BE4DC8" w:rsidRPr="00B33B55" w:rsidRDefault="00F81DF4">
            <w:pPr>
              <w:rPr>
                <w:rFonts w:ascii="Arial" w:hAnsi="Arial" w:cs="Arial"/>
                <w:color w:val="000000"/>
              </w:rPr>
            </w:pPr>
            <w:r w:rsidRPr="00B33B55">
              <w:rPr>
                <w:rFonts w:ascii="Arial" w:hAnsi="Arial" w:cs="Arial"/>
                <w:color w:val="000000"/>
              </w:rPr>
              <w:lastRenderedPageBreak/>
              <w:t>Respite – The supervision and care of a participant while the family or other individual who normally provide unpaid informal care take short-term relief or respite, or to cover emergencies or extended absences of the regular paid caregiver.</w:t>
            </w:r>
          </w:p>
        </w:tc>
      </w:tr>
      <w:tr w:rsidR="00A248D7" w:rsidRPr="00B33B55" w14:paraId="5BEAF355" w14:textId="77777777" w:rsidTr="00E266F1">
        <w:trPr>
          <w:trHeight w:val="270"/>
        </w:trPr>
        <w:tc>
          <w:tcPr>
            <w:tcW w:w="9363"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6AB5CF9F" w14:textId="0854F017" w:rsidR="00A248D7" w:rsidRPr="00B33B55" w:rsidRDefault="00A248D7" w:rsidP="00A248D7">
            <w:pPr>
              <w:rPr>
                <w:rFonts w:ascii="Arial" w:hAnsi="Arial" w:cs="Arial"/>
                <w:color w:val="000000"/>
              </w:rPr>
            </w:pPr>
            <w:r w:rsidRPr="004E3A2F">
              <w:rPr>
                <w:rFonts w:ascii="Arial" w:hAnsi="Arial" w:cs="Arial"/>
                <w:color w:val="000000"/>
              </w:rPr>
              <w:t>Social Reassurance – Periodic telephone contact, visiting or other social and reassurance services to verify that the individual is not in medical, psychological, or social crisis, or to offset isolation.</w:t>
            </w:r>
          </w:p>
        </w:tc>
      </w:tr>
      <w:tr w:rsidR="00BE4DC8" w:rsidRPr="00B33B55" w14:paraId="510A20C8" w14:textId="77777777" w:rsidTr="00E266F1">
        <w:trPr>
          <w:trHeight w:val="270"/>
        </w:trPr>
        <w:tc>
          <w:tcPr>
            <w:tcW w:w="9363" w:type="dxa"/>
            <w:tcBorders>
              <w:top w:val="single" w:sz="8" w:space="0" w:color="auto"/>
              <w:left w:val="single" w:sz="8" w:space="0" w:color="auto"/>
              <w:bottom w:val="single" w:sz="8" w:space="0" w:color="auto"/>
              <w:right w:val="single" w:sz="8" w:space="0" w:color="auto"/>
            </w:tcBorders>
            <w:shd w:val="clear" w:color="auto" w:fill="DCE6F1"/>
            <w:vAlign w:val="bottom"/>
            <w:hideMark/>
          </w:tcPr>
          <w:p w14:paraId="416EC1B5" w14:textId="77777777" w:rsidR="00BE4DC8" w:rsidRPr="00B33B55" w:rsidRDefault="00BE4DC8">
            <w:pPr>
              <w:rPr>
                <w:rFonts w:ascii="Arial" w:hAnsi="Arial" w:cs="Arial"/>
                <w:color w:val="000000"/>
              </w:rPr>
            </w:pPr>
            <w:r w:rsidRPr="00B33B55">
              <w:rPr>
                <w:rFonts w:ascii="Arial" w:hAnsi="Arial" w:cs="Arial"/>
                <w:color w:val="000000"/>
              </w:rPr>
              <w:t xml:space="preserve">Supplemental Chore – The performance of household tasks for purposes of household support, including, for example: household and deep cleaning, laundry, shopping, and food preparation. The purpose of this service is to supplement, not supplant services available through In-Home Supportive Services (IHSS), such as when a provider is </w:t>
            </w:r>
            <w:proofErr w:type="gramStart"/>
            <w:r w:rsidRPr="00B33B55">
              <w:rPr>
                <w:rFonts w:ascii="Arial" w:hAnsi="Arial" w:cs="Arial"/>
                <w:color w:val="000000"/>
              </w:rPr>
              <w:t>unavailable</w:t>
            </w:r>
            <w:proofErr w:type="gramEnd"/>
            <w:r w:rsidRPr="00B33B55">
              <w:rPr>
                <w:rFonts w:ascii="Arial" w:hAnsi="Arial" w:cs="Arial"/>
                <w:color w:val="000000"/>
              </w:rPr>
              <w:t xml:space="preserve"> or a participant’s needs exceed IHSS hours.</w:t>
            </w:r>
          </w:p>
        </w:tc>
      </w:tr>
      <w:tr w:rsidR="00A248D7" w:rsidRPr="00B33B55" w14:paraId="6532DF6C" w14:textId="77777777" w:rsidTr="00E266F1">
        <w:trPr>
          <w:trHeight w:val="270"/>
        </w:trPr>
        <w:tc>
          <w:tcPr>
            <w:tcW w:w="9363" w:type="dxa"/>
            <w:tcBorders>
              <w:top w:val="single" w:sz="8" w:space="0" w:color="auto"/>
              <w:left w:val="single" w:sz="8" w:space="0" w:color="auto"/>
              <w:bottom w:val="single" w:sz="8" w:space="0" w:color="auto"/>
              <w:right w:val="single" w:sz="8" w:space="0" w:color="auto"/>
            </w:tcBorders>
            <w:shd w:val="clear" w:color="auto" w:fill="B4C6E7" w:themeFill="accent1" w:themeFillTint="66"/>
            <w:vAlign w:val="bottom"/>
          </w:tcPr>
          <w:p w14:paraId="6EFC6EC8" w14:textId="77C1F1F5" w:rsidR="00A248D7" w:rsidRPr="00B33B55" w:rsidRDefault="00A248D7">
            <w:pPr>
              <w:rPr>
                <w:rFonts w:ascii="Arial" w:hAnsi="Arial" w:cs="Arial"/>
                <w:color w:val="000000"/>
              </w:rPr>
            </w:pPr>
            <w:r w:rsidRPr="00B33B55">
              <w:rPr>
                <w:rFonts w:ascii="Arial" w:hAnsi="Arial" w:cs="Arial"/>
                <w:color w:val="000000"/>
              </w:rPr>
              <w:t>Supplemental Health Care – The care of health problems by appropriately licensed or certified persons when such care is not otherwise available through Medi-Cal</w:t>
            </w:r>
            <w:r>
              <w:rPr>
                <w:rFonts w:ascii="Arial" w:hAnsi="Arial" w:cs="Arial"/>
                <w:color w:val="000000"/>
              </w:rPr>
              <w:t>.</w:t>
            </w:r>
          </w:p>
        </w:tc>
      </w:tr>
      <w:tr w:rsidR="00BE4DC8" w:rsidRPr="00B33B55" w14:paraId="523EC359" w14:textId="77777777" w:rsidTr="00BE4DC8">
        <w:trPr>
          <w:trHeight w:val="270"/>
        </w:trPr>
        <w:tc>
          <w:tcPr>
            <w:tcW w:w="9363" w:type="dxa"/>
            <w:tcBorders>
              <w:top w:val="single" w:sz="8" w:space="0" w:color="auto"/>
              <w:left w:val="single" w:sz="8" w:space="0" w:color="auto"/>
              <w:bottom w:val="single" w:sz="8" w:space="0" w:color="auto"/>
              <w:right w:val="single" w:sz="8" w:space="0" w:color="auto"/>
            </w:tcBorders>
            <w:shd w:val="clear" w:color="auto" w:fill="DCE6F1"/>
            <w:vAlign w:val="bottom"/>
            <w:hideMark/>
          </w:tcPr>
          <w:p w14:paraId="0C98854E" w14:textId="77777777" w:rsidR="00BE4DC8" w:rsidRPr="00B33B55" w:rsidRDefault="00BE4DC8">
            <w:pPr>
              <w:rPr>
                <w:rFonts w:ascii="Arial" w:hAnsi="Arial" w:cs="Arial"/>
                <w:color w:val="000000"/>
              </w:rPr>
            </w:pPr>
            <w:r w:rsidRPr="00B33B55">
              <w:rPr>
                <w:rFonts w:ascii="Arial" w:hAnsi="Arial" w:cs="Arial"/>
                <w:color w:val="000000"/>
              </w:rPr>
              <w:t xml:space="preserve">Supplemental Personal Care – Services that assist the participant in maintaining bodily hygiene, personal safety, and activities of daily living. The purpose of this service is to supplement, not supplant services available through In-Home Supportive Services (IHSS), such as when a provider is </w:t>
            </w:r>
            <w:proofErr w:type="gramStart"/>
            <w:r w:rsidRPr="00B33B55">
              <w:rPr>
                <w:rFonts w:ascii="Arial" w:hAnsi="Arial" w:cs="Arial"/>
                <w:color w:val="000000"/>
              </w:rPr>
              <w:t>unavailable</w:t>
            </w:r>
            <w:proofErr w:type="gramEnd"/>
            <w:r w:rsidRPr="00B33B55">
              <w:rPr>
                <w:rFonts w:ascii="Arial" w:hAnsi="Arial" w:cs="Arial"/>
                <w:color w:val="000000"/>
              </w:rPr>
              <w:t xml:space="preserve"> or a participant’s needs exceed IHSS hours.</w:t>
            </w:r>
          </w:p>
        </w:tc>
      </w:tr>
      <w:tr w:rsidR="00BE4DC8" w:rsidRPr="00B33B55" w14:paraId="0828D219" w14:textId="77777777" w:rsidTr="002457DB">
        <w:trPr>
          <w:trHeight w:val="270"/>
        </w:trPr>
        <w:tc>
          <w:tcPr>
            <w:tcW w:w="9363" w:type="dxa"/>
            <w:tcBorders>
              <w:top w:val="single" w:sz="8" w:space="0" w:color="auto"/>
              <w:left w:val="single" w:sz="8" w:space="0" w:color="auto"/>
              <w:bottom w:val="single" w:sz="8" w:space="0" w:color="auto"/>
              <w:right w:val="single" w:sz="8" w:space="0" w:color="auto"/>
            </w:tcBorders>
            <w:shd w:val="clear" w:color="auto" w:fill="B4C6E7" w:themeFill="accent1" w:themeFillTint="66"/>
            <w:vAlign w:val="bottom"/>
            <w:hideMark/>
          </w:tcPr>
          <w:p w14:paraId="35EE0B00" w14:textId="77777777" w:rsidR="00BE4DC8" w:rsidRPr="00B33B55" w:rsidRDefault="00BE4DC8">
            <w:pPr>
              <w:rPr>
                <w:rFonts w:ascii="Arial" w:hAnsi="Arial" w:cs="Arial"/>
                <w:color w:val="000000"/>
              </w:rPr>
            </w:pPr>
            <w:r w:rsidRPr="00B33B55">
              <w:rPr>
                <w:rFonts w:ascii="Arial" w:hAnsi="Arial" w:cs="Arial"/>
                <w:color w:val="000000"/>
              </w:rPr>
              <w:t xml:space="preserve">Supplemental Protective Supervision – Supervision in the absence of the usual care provider to persons in their own homes who are very frail or may suffer a medical emergency, to prevent immediate placement in an acute care hospital, nursing facility, or other 24-hour Residential Care Facility for the Elderly. The purpose of this service is to supplement, not supplant services available through In-Home Supportive Services (IHSS), such as when a provider is </w:t>
            </w:r>
            <w:proofErr w:type="gramStart"/>
            <w:r w:rsidRPr="00B33B55">
              <w:rPr>
                <w:rFonts w:ascii="Arial" w:hAnsi="Arial" w:cs="Arial"/>
                <w:color w:val="000000"/>
              </w:rPr>
              <w:t>unavailable</w:t>
            </w:r>
            <w:proofErr w:type="gramEnd"/>
            <w:r w:rsidRPr="00B33B55">
              <w:rPr>
                <w:rFonts w:ascii="Arial" w:hAnsi="Arial" w:cs="Arial"/>
                <w:color w:val="000000"/>
              </w:rPr>
              <w:t xml:space="preserve"> or a participant’s needs exceed IHSS hours.</w:t>
            </w:r>
          </w:p>
        </w:tc>
      </w:tr>
      <w:tr w:rsidR="00F81DF4" w:rsidRPr="00B33B55" w14:paraId="0B35B278" w14:textId="77777777" w:rsidTr="00F81DF4">
        <w:trPr>
          <w:trHeight w:val="270"/>
        </w:trPr>
        <w:tc>
          <w:tcPr>
            <w:tcW w:w="9363" w:type="dxa"/>
            <w:tcBorders>
              <w:top w:val="single" w:sz="8" w:space="0" w:color="auto"/>
              <w:left w:val="single" w:sz="8" w:space="0" w:color="auto"/>
              <w:bottom w:val="single" w:sz="8" w:space="0" w:color="auto"/>
              <w:right w:val="single" w:sz="8" w:space="0" w:color="auto"/>
            </w:tcBorders>
            <w:shd w:val="clear" w:color="auto" w:fill="DCE6F1"/>
            <w:vAlign w:val="bottom"/>
          </w:tcPr>
          <w:p w14:paraId="77C2E770" w14:textId="43BB76F5" w:rsidR="00F81DF4" w:rsidRPr="00B33B55" w:rsidRDefault="00F81DF4" w:rsidP="00F81DF4">
            <w:pPr>
              <w:rPr>
                <w:rFonts w:ascii="Arial" w:hAnsi="Arial" w:cs="Arial"/>
                <w:color w:val="000000"/>
              </w:rPr>
            </w:pPr>
            <w:r w:rsidRPr="00B33B55">
              <w:rPr>
                <w:rFonts w:ascii="Arial" w:hAnsi="Arial" w:cs="Arial"/>
                <w:color w:val="000000"/>
              </w:rPr>
              <w:t>Temporary Lodging – Lodging for participants who must travel long distances for medical treatments unavailable locally or in the event of a natural disaster or home-related emergency, including bed bugs, fire/water damage, or another condition that makes the participant’s current housing unlivable.</w:t>
            </w:r>
          </w:p>
        </w:tc>
      </w:tr>
      <w:tr w:rsidR="00E266F1" w:rsidRPr="00B33B55" w14:paraId="3C55E723" w14:textId="77777777" w:rsidTr="002457DB">
        <w:trPr>
          <w:trHeight w:val="270"/>
        </w:trPr>
        <w:tc>
          <w:tcPr>
            <w:tcW w:w="9363"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1C1DBFDB" w14:textId="41A03F2C" w:rsidR="00E266F1" w:rsidRPr="00B33B55" w:rsidRDefault="00E266F1" w:rsidP="00F81DF4">
            <w:pPr>
              <w:rPr>
                <w:rFonts w:ascii="Arial" w:hAnsi="Arial" w:cs="Arial"/>
                <w:color w:val="000000"/>
              </w:rPr>
            </w:pPr>
            <w:r w:rsidRPr="00B33B55">
              <w:rPr>
                <w:rFonts w:ascii="Arial" w:hAnsi="Arial" w:cs="Arial"/>
                <w:color w:val="000000"/>
              </w:rPr>
              <w:t>Therapeutic Counseling – Individual or group counseling to assist with social, psychological, or medical problems which have been identified in the assessment process, including alternative therapy methods and in-home counseling services, not otherwise included with Medi-Cal.</w:t>
            </w:r>
          </w:p>
        </w:tc>
      </w:tr>
      <w:tr w:rsidR="00F81DF4" w:rsidRPr="00B33B55" w14:paraId="12C02005" w14:textId="77777777" w:rsidTr="0098622F">
        <w:trPr>
          <w:trHeight w:val="270"/>
        </w:trPr>
        <w:tc>
          <w:tcPr>
            <w:tcW w:w="9363" w:type="dxa"/>
            <w:tcBorders>
              <w:top w:val="single" w:sz="8" w:space="0" w:color="auto"/>
              <w:left w:val="single" w:sz="8" w:space="0" w:color="auto"/>
              <w:bottom w:val="single" w:sz="8" w:space="0" w:color="auto"/>
              <w:right w:val="single" w:sz="8" w:space="0" w:color="auto"/>
            </w:tcBorders>
            <w:shd w:val="clear" w:color="auto" w:fill="DCE6F1"/>
            <w:hideMark/>
          </w:tcPr>
          <w:p w14:paraId="0CC23D8E" w14:textId="77777777" w:rsidR="00F81DF4" w:rsidRPr="00B33B55" w:rsidRDefault="00F81DF4" w:rsidP="00F81DF4">
            <w:pPr>
              <w:rPr>
                <w:rFonts w:ascii="Arial" w:hAnsi="Arial" w:cs="Arial"/>
                <w:color w:val="000000"/>
              </w:rPr>
            </w:pPr>
            <w:r w:rsidRPr="00B33B55">
              <w:rPr>
                <w:rFonts w:ascii="Arial" w:hAnsi="Arial" w:cs="Arial"/>
                <w:color w:val="000000"/>
              </w:rPr>
              <w:t>Transportation – Services that provide access to the community (non-emergency medical transportation to health and social service providers, not otherwise covered by Medi-Cal) and special events for participants who do not have means for transportation or whose mobility is limited, or who have functional disabilities requiring specialized vehicles and/or an escort.</w:t>
            </w:r>
          </w:p>
        </w:tc>
      </w:tr>
    </w:tbl>
    <w:p w14:paraId="65215EF7" w14:textId="77777777" w:rsidR="00A213FA" w:rsidRPr="00B33B55" w:rsidRDefault="00A213FA" w:rsidP="00A213FA">
      <w:pPr>
        <w:rPr>
          <w:rFonts w:ascii="Arial" w:hAnsi="Arial" w:cs="Arial"/>
        </w:rPr>
      </w:pPr>
    </w:p>
    <w:p w14:paraId="4C451122" w14:textId="77777777" w:rsidR="002457DB" w:rsidRDefault="00A213FA" w:rsidP="00A213FA">
      <w:pPr>
        <w:rPr>
          <w:rFonts w:ascii="Arial" w:hAnsi="Arial" w:cs="Arial"/>
        </w:rPr>
      </w:pPr>
      <w:r w:rsidRPr="00B33B55">
        <w:rPr>
          <w:rFonts w:ascii="Arial" w:hAnsi="Arial" w:cs="Arial"/>
        </w:rPr>
        <w:t>Full definitions of services currently approved for purchase under the MSSP program are available in Chapter 3 of the MSSP Site Manual at:</w:t>
      </w:r>
    </w:p>
    <w:p w14:paraId="10AF124E" w14:textId="77777777" w:rsidR="00A213FA" w:rsidRPr="00B33B55" w:rsidRDefault="00062535" w:rsidP="00A213FA">
      <w:pPr>
        <w:rPr>
          <w:rFonts w:ascii="Arial" w:hAnsi="Arial" w:cs="Arial"/>
        </w:rPr>
      </w:pPr>
      <w:hyperlink r:id="rId9" w:history="1">
        <w:r w:rsidR="00A213FA" w:rsidRPr="00B33B55">
          <w:rPr>
            <w:rStyle w:val="Hyperlink"/>
            <w:rFonts w:ascii="Arial" w:hAnsi="Arial" w:cs="Arial"/>
          </w:rPr>
          <w:t>https://www.aging.ca.gov/docs/MSSP/SiteManual/2016/Chapter_3.pdf</w:t>
        </w:r>
      </w:hyperlink>
      <w:r w:rsidR="00A213FA" w:rsidRPr="00B33B55">
        <w:rPr>
          <w:rFonts w:ascii="Arial" w:hAnsi="Arial" w:cs="Arial"/>
        </w:rPr>
        <w:t xml:space="preserve">.  </w:t>
      </w:r>
    </w:p>
    <w:p w14:paraId="275E02B8" w14:textId="77777777" w:rsidR="00A213FA" w:rsidRPr="00B33B55" w:rsidRDefault="00A213FA" w:rsidP="00A213FA">
      <w:pPr>
        <w:rPr>
          <w:rFonts w:ascii="Arial" w:hAnsi="Arial" w:cs="Arial"/>
        </w:rPr>
      </w:pPr>
    </w:p>
    <w:p w14:paraId="5C9B1227" w14:textId="77777777" w:rsidR="00E957AE" w:rsidRDefault="00E957AE" w:rsidP="00A213FA">
      <w:pPr>
        <w:jc w:val="center"/>
        <w:rPr>
          <w:rFonts w:ascii="Arial" w:hAnsi="Arial" w:cs="Arial"/>
          <w:b/>
        </w:rPr>
      </w:pPr>
    </w:p>
    <w:p w14:paraId="44143CAE" w14:textId="77777777" w:rsidR="00E957AE" w:rsidRDefault="00E957AE" w:rsidP="00A213FA">
      <w:pPr>
        <w:jc w:val="center"/>
        <w:rPr>
          <w:rFonts w:ascii="Arial" w:hAnsi="Arial" w:cs="Arial"/>
          <w:b/>
        </w:rPr>
      </w:pPr>
    </w:p>
    <w:p w14:paraId="5768C93C" w14:textId="77777777" w:rsidR="00E957AE" w:rsidRDefault="00E957AE" w:rsidP="00A213FA">
      <w:pPr>
        <w:jc w:val="center"/>
        <w:rPr>
          <w:rFonts w:ascii="Arial" w:hAnsi="Arial" w:cs="Arial"/>
          <w:b/>
        </w:rPr>
      </w:pPr>
    </w:p>
    <w:p w14:paraId="69FCDD75" w14:textId="77777777" w:rsidR="00E957AE" w:rsidRDefault="00E957AE" w:rsidP="00A213FA">
      <w:pPr>
        <w:jc w:val="center"/>
        <w:rPr>
          <w:rFonts w:ascii="Arial" w:hAnsi="Arial" w:cs="Arial"/>
          <w:b/>
        </w:rPr>
      </w:pPr>
    </w:p>
    <w:p w14:paraId="24C8C977" w14:textId="77777777" w:rsidR="00A213FA" w:rsidRPr="00B33B55" w:rsidRDefault="00A213FA" w:rsidP="00A213FA">
      <w:pPr>
        <w:jc w:val="center"/>
        <w:rPr>
          <w:rFonts w:ascii="Arial" w:hAnsi="Arial" w:cs="Arial"/>
          <w:b/>
        </w:rPr>
      </w:pPr>
      <w:r w:rsidRPr="00B33B55">
        <w:rPr>
          <w:rFonts w:ascii="Arial" w:hAnsi="Arial" w:cs="Arial"/>
          <w:b/>
        </w:rPr>
        <w:t>Additional Recommended Services</w:t>
      </w:r>
    </w:p>
    <w:p w14:paraId="45E5ACA7" w14:textId="77777777" w:rsidR="00BE4DC8" w:rsidRPr="00B33B55" w:rsidRDefault="00BE4DC8" w:rsidP="00A213FA">
      <w:pPr>
        <w:jc w:val="center"/>
        <w:rPr>
          <w:rFonts w:ascii="Arial" w:hAnsi="Arial" w:cs="Arial"/>
          <w:b/>
        </w:rPr>
      </w:pPr>
    </w:p>
    <w:p w14:paraId="171D5504" w14:textId="77777777" w:rsidR="00BE4DC8" w:rsidRPr="00B33B55" w:rsidRDefault="00BE4DC8" w:rsidP="00BE4DC8">
      <w:pPr>
        <w:rPr>
          <w:rFonts w:ascii="Arial" w:hAnsi="Arial" w:cs="Arial"/>
        </w:rPr>
      </w:pPr>
      <w:r w:rsidRPr="00B33B55">
        <w:rPr>
          <w:rFonts w:ascii="Arial" w:hAnsi="Arial" w:cs="Arial"/>
        </w:rPr>
        <w:t xml:space="preserve">Under the new HCBS CPM benefit, the Model of Care Workgroup recommends that DHCS allow flexibility for HCBS CPM providers to purchase any service and product beyond those currently </w:t>
      </w:r>
      <w:r w:rsidR="00B06DD0">
        <w:rPr>
          <w:rFonts w:ascii="Arial" w:hAnsi="Arial" w:cs="Arial"/>
        </w:rPr>
        <w:t>allowed</w:t>
      </w:r>
      <w:r w:rsidRPr="00B33B55">
        <w:rPr>
          <w:rFonts w:ascii="Arial" w:hAnsi="Arial" w:cs="Arial"/>
        </w:rPr>
        <w:t xml:space="preserve"> that helps to maximize independence, avoid further institutionalization, and ensure patient safety, to allow for currently unidentified and potentially unforeseen beneficiary needs. This includes, but is not limited to, adaptive clothing, compression stockings, and lotion unrelated to incontinence, and products and services </w:t>
      </w:r>
      <w:r w:rsidR="00B06DD0">
        <w:rPr>
          <w:rFonts w:ascii="Arial" w:hAnsi="Arial" w:cs="Arial"/>
        </w:rPr>
        <w:t>to help with</w:t>
      </w:r>
      <w:r w:rsidRPr="00B33B55">
        <w:rPr>
          <w:rFonts w:ascii="Arial" w:hAnsi="Arial" w:cs="Arial"/>
        </w:rPr>
        <w:t xml:space="preserve"> a beneficiary’s return to home from an institutional setting.</w:t>
      </w:r>
    </w:p>
    <w:p w14:paraId="5B5345D4" w14:textId="77777777" w:rsidR="00A213FA" w:rsidRPr="00B33B55" w:rsidRDefault="00A213FA" w:rsidP="00A213FA">
      <w:pPr>
        <w:rPr>
          <w:rFonts w:ascii="Arial" w:hAnsi="Arial" w:cs="Arial"/>
        </w:rPr>
      </w:pPr>
    </w:p>
    <w:p w14:paraId="24AACBE1" w14:textId="77777777" w:rsidR="00A213FA" w:rsidRPr="00B33B55" w:rsidRDefault="00A213FA" w:rsidP="00A213FA">
      <w:pPr>
        <w:spacing w:line="276" w:lineRule="auto"/>
        <w:jc w:val="center"/>
        <w:rPr>
          <w:rFonts w:ascii="Arial" w:eastAsia="Times New Roman" w:hAnsi="Arial" w:cs="Arial"/>
          <w:b/>
        </w:rPr>
      </w:pPr>
      <w:r w:rsidRPr="00B33B55">
        <w:rPr>
          <w:rFonts w:ascii="Arial" w:eastAsia="Times New Roman" w:hAnsi="Arial" w:cs="Arial"/>
          <w:b/>
        </w:rPr>
        <w:t>Grievances and Appeals</w:t>
      </w:r>
    </w:p>
    <w:p w14:paraId="475C45DD" w14:textId="77777777" w:rsidR="00A213FA" w:rsidRPr="00B33B55" w:rsidRDefault="00A213FA" w:rsidP="00A213FA">
      <w:pPr>
        <w:rPr>
          <w:rFonts w:ascii="Arial" w:hAnsi="Arial" w:cs="Arial"/>
          <w:b/>
          <w:color w:val="4472C4" w:themeColor="accent1"/>
        </w:rPr>
      </w:pPr>
    </w:p>
    <w:p w14:paraId="39F101EF" w14:textId="77777777" w:rsidR="001217C3" w:rsidRPr="00B33B55" w:rsidRDefault="00BE4DC8" w:rsidP="001217C3">
      <w:pPr>
        <w:rPr>
          <w:rFonts w:ascii="Arial" w:hAnsi="Arial" w:cs="Arial"/>
        </w:rPr>
      </w:pPr>
      <w:r w:rsidRPr="00B33B55">
        <w:rPr>
          <w:rFonts w:ascii="Arial" w:hAnsi="Arial" w:cs="Arial"/>
        </w:rPr>
        <w:t xml:space="preserve">Health Plan members will continue to have the right to file complaints, grievances, and/or appeals regarding these Purchased Services. </w:t>
      </w:r>
      <w:r w:rsidR="008823DB" w:rsidRPr="00B33B55">
        <w:rPr>
          <w:rFonts w:ascii="Arial" w:hAnsi="Arial" w:cs="Arial"/>
        </w:rPr>
        <w:t>The health plans should follow the same grievance and appeal process developed for Medi-Cal covered services.</w:t>
      </w:r>
    </w:p>
    <w:p w14:paraId="6DE3EEB6" w14:textId="77777777" w:rsidR="001217C3" w:rsidRPr="00B33B55" w:rsidRDefault="001217C3" w:rsidP="008823DB">
      <w:pPr>
        <w:rPr>
          <w:rFonts w:ascii="Arial" w:hAnsi="Arial" w:cs="Arial"/>
        </w:rPr>
      </w:pPr>
    </w:p>
    <w:p w14:paraId="5C49A17E" w14:textId="77777777" w:rsidR="00A155D0" w:rsidRPr="00B33B55" w:rsidRDefault="00A155D0" w:rsidP="00BE4DC8">
      <w:pPr>
        <w:rPr>
          <w:rFonts w:ascii="Arial" w:hAnsi="Arial" w:cs="Arial"/>
        </w:rPr>
      </w:pPr>
    </w:p>
    <w:sectPr w:rsidR="00A155D0" w:rsidRPr="00B33B55" w:rsidSect="00436911">
      <w:footerReference w:type="even"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0E552" w14:textId="77777777" w:rsidR="00062535" w:rsidRDefault="00062535" w:rsidP="008760D6">
      <w:r>
        <w:separator/>
      </w:r>
    </w:p>
  </w:endnote>
  <w:endnote w:type="continuationSeparator" w:id="0">
    <w:p w14:paraId="372331A7" w14:textId="77777777" w:rsidR="00062535" w:rsidRDefault="00062535" w:rsidP="0087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2904083"/>
      <w:docPartObj>
        <w:docPartGallery w:val="Page Numbers (Bottom of Page)"/>
        <w:docPartUnique/>
      </w:docPartObj>
    </w:sdtPr>
    <w:sdtEndPr>
      <w:rPr>
        <w:rStyle w:val="PageNumber"/>
      </w:rPr>
    </w:sdtEndPr>
    <w:sdtContent>
      <w:p w14:paraId="6B91192C" w14:textId="77777777" w:rsidR="00E266F1" w:rsidRDefault="00E266F1" w:rsidP="00F81D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7FA52C" w14:textId="77777777" w:rsidR="00E266F1" w:rsidRDefault="00E266F1" w:rsidP="008760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4646977"/>
      <w:docPartObj>
        <w:docPartGallery w:val="Page Numbers (Bottom of Page)"/>
        <w:docPartUnique/>
      </w:docPartObj>
    </w:sdtPr>
    <w:sdtEndPr>
      <w:rPr>
        <w:rStyle w:val="PageNumber"/>
      </w:rPr>
    </w:sdtEndPr>
    <w:sdtContent>
      <w:p w14:paraId="0451B544" w14:textId="626C0CCE" w:rsidR="00E266F1" w:rsidRDefault="00E266F1" w:rsidP="00F81D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55F49">
          <w:rPr>
            <w:rStyle w:val="PageNumber"/>
            <w:noProof/>
          </w:rPr>
          <w:t>2</w:t>
        </w:r>
        <w:r>
          <w:rPr>
            <w:rStyle w:val="PageNumber"/>
          </w:rPr>
          <w:fldChar w:fldCharType="end"/>
        </w:r>
      </w:p>
    </w:sdtContent>
  </w:sdt>
  <w:p w14:paraId="4DA397D7" w14:textId="77777777" w:rsidR="00E266F1" w:rsidRDefault="00E266F1" w:rsidP="008760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438C9" w14:textId="77777777" w:rsidR="00062535" w:rsidRDefault="00062535" w:rsidP="008760D6">
      <w:r>
        <w:separator/>
      </w:r>
    </w:p>
  </w:footnote>
  <w:footnote w:type="continuationSeparator" w:id="0">
    <w:p w14:paraId="6BF9DD9E" w14:textId="77777777" w:rsidR="00062535" w:rsidRDefault="00062535" w:rsidP="00876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09375" w14:textId="77777777" w:rsidR="00E266F1" w:rsidRDefault="00E266F1">
    <w:pPr>
      <w:pStyle w:val="Header"/>
    </w:pPr>
    <w:r>
      <w:rPr>
        <w:noProof/>
      </w:rPr>
      <w:drawing>
        <wp:anchor distT="0" distB="0" distL="114300" distR="114300" simplePos="0" relativeHeight="251662336" behindDoc="0" locked="0" layoutInCell="1" allowOverlap="1" wp14:anchorId="0753233F" wp14:editId="1B7BEE3F">
          <wp:simplePos x="0" y="0"/>
          <wp:positionH relativeFrom="margin">
            <wp:posOffset>215265</wp:posOffset>
          </wp:positionH>
          <wp:positionV relativeFrom="paragraph">
            <wp:posOffset>-314515</wp:posOffset>
          </wp:positionV>
          <wp:extent cx="1118901" cy="567443"/>
          <wp:effectExtent l="0" t="0" r="508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901" cy="5674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0BD0">
      <w:rPr>
        <w:rFonts w:ascii="Times" w:eastAsia="Calibri" w:hAnsi="Times" w:cs="Times"/>
        <w:noProof/>
        <w:color w:val="000000"/>
      </w:rPr>
      <w:drawing>
        <wp:anchor distT="0" distB="0" distL="114300" distR="114300" simplePos="0" relativeHeight="251661312" behindDoc="0" locked="0" layoutInCell="1" allowOverlap="1" wp14:anchorId="7C6FAFDD" wp14:editId="63BAAE57">
          <wp:simplePos x="0" y="0"/>
          <wp:positionH relativeFrom="margin">
            <wp:align>right</wp:align>
          </wp:positionH>
          <wp:positionV relativeFrom="paragraph">
            <wp:posOffset>-124460</wp:posOffset>
          </wp:positionV>
          <wp:extent cx="1616087" cy="37020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03-12 at 12.39.46 PM.png"/>
                  <pic:cNvPicPr/>
                </pic:nvPicPr>
                <pic:blipFill>
                  <a:blip r:embed="rId2">
                    <a:extLst>
                      <a:ext uri="{28A0092B-C50C-407E-A947-70E740481C1C}">
                        <a14:useLocalDpi xmlns:a14="http://schemas.microsoft.com/office/drawing/2010/main" val="0"/>
                      </a:ext>
                    </a:extLst>
                  </a:blip>
                  <a:stretch>
                    <a:fillRect/>
                  </a:stretch>
                </pic:blipFill>
                <pic:spPr>
                  <a:xfrm>
                    <a:off x="0" y="0"/>
                    <a:ext cx="1616087" cy="3702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BBF1F98" wp14:editId="3E2BB17B">
          <wp:simplePos x="0" y="0"/>
          <wp:positionH relativeFrom="margin">
            <wp:posOffset>2181225</wp:posOffset>
          </wp:positionH>
          <wp:positionV relativeFrom="paragraph">
            <wp:posOffset>-142875</wp:posOffset>
          </wp:positionV>
          <wp:extent cx="1333500" cy="375132"/>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37513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0FDB"/>
    <w:multiLevelType w:val="hybridMultilevel"/>
    <w:tmpl w:val="EF5A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42319"/>
    <w:multiLevelType w:val="hybridMultilevel"/>
    <w:tmpl w:val="B8D0A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377FC"/>
    <w:multiLevelType w:val="hybridMultilevel"/>
    <w:tmpl w:val="A67C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F1423"/>
    <w:multiLevelType w:val="hybridMultilevel"/>
    <w:tmpl w:val="9038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C5721"/>
    <w:multiLevelType w:val="hybridMultilevel"/>
    <w:tmpl w:val="ABF2F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C31A9"/>
    <w:multiLevelType w:val="hybridMultilevel"/>
    <w:tmpl w:val="96BAEF4A"/>
    <w:lvl w:ilvl="0" w:tplc="4C3CFBB6">
      <w:start w:val="2"/>
      <w:numFmt w:val="bullet"/>
      <w:lvlText w:val="-"/>
      <w:lvlJc w:val="left"/>
      <w:pPr>
        <w:ind w:left="720" w:hanging="360"/>
      </w:pPr>
      <w:rPr>
        <w:rFonts w:ascii="ArialMT" w:eastAsia="Times New Roman" w:hAnsi="ArialMT"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E15DC"/>
    <w:multiLevelType w:val="hybridMultilevel"/>
    <w:tmpl w:val="AC3AB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D92FDC"/>
    <w:multiLevelType w:val="hybridMultilevel"/>
    <w:tmpl w:val="680AB528"/>
    <w:lvl w:ilvl="0" w:tplc="8AF2F3E0">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71128"/>
    <w:multiLevelType w:val="hybridMultilevel"/>
    <w:tmpl w:val="5C08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D3EF0"/>
    <w:multiLevelType w:val="hybridMultilevel"/>
    <w:tmpl w:val="54826CF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BE690A"/>
    <w:multiLevelType w:val="hybridMultilevel"/>
    <w:tmpl w:val="CAF4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E925E8"/>
    <w:multiLevelType w:val="hybridMultilevel"/>
    <w:tmpl w:val="C11E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D09A3"/>
    <w:multiLevelType w:val="hybridMultilevel"/>
    <w:tmpl w:val="0FC67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E1CD8"/>
    <w:multiLevelType w:val="hybridMultilevel"/>
    <w:tmpl w:val="97D43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D7CD9"/>
    <w:multiLevelType w:val="hybridMultilevel"/>
    <w:tmpl w:val="DB1A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F7ED5"/>
    <w:multiLevelType w:val="hybridMultilevel"/>
    <w:tmpl w:val="0F92D4C2"/>
    <w:lvl w:ilvl="0" w:tplc="8AF2F3E0">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F3380"/>
    <w:multiLevelType w:val="hybridMultilevel"/>
    <w:tmpl w:val="0974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B78FE"/>
    <w:multiLevelType w:val="hybridMultilevel"/>
    <w:tmpl w:val="0AE0A618"/>
    <w:lvl w:ilvl="0" w:tplc="4C3CFBB6">
      <w:start w:val="2"/>
      <w:numFmt w:val="bullet"/>
      <w:lvlText w:val="-"/>
      <w:lvlJc w:val="left"/>
      <w:pPr>
        <w:ind w:left="720" w:hanging="360"/>
      </w:pPr>
      <w:rPr>
        <w:rFonts w:ascii="ArialMT" w:eastAsia="Times New Roman" w:hAnsi="ArialMT"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37170"/>
    <w:multiLevelType w:val="hybridMultilevel"/>
    <w:tmpl w:val="048A85B0"/>
    <w:lvl w:ilvl="0" w:tplc="8AF2F3E0">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85FEF"/>
    <w:multiLevelType w:val="hybridMultilevel"/>
    <w:tmpl w:val="1B2A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4D52D6"/>
    <w:multiLevelType w:val="hybridMultilevel"/>
    <w:tmpl w:val="CA4C4C9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EE2C74"/>
    <w:multiLevelType w:val="hybridMultilevel"/>
    <w:tmpl w:val="C78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C50DEE"/>
    <w:multiLevelType w:val="hybridMultilevel"/>
    <w:tmpl w:val="A37C7DC4"/>
    <w:lvl w:ilvl="0" w:tplc="3F00395A">
      <w:numFmt w:val="bullet"/>
      <w:lvlText w:val=""/>
      <w:lvlJc w:val="left"/>
      <w:pPr>
        <w:ind w:left="1440" w:hanging="360"/>
      </w:pPr>
      <w:rPr>
        <w:rFonts w:ascii="Symbol" w:eastAsiaTheme="minorHAnsi" w:hAnsi="Symbol" w:cstheme="minorHAnsi" w:hint="default"/>
        <w:color w:val="2F5496" w:themeColor="accent1" w:themeShade="BF"/>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7B574B"/>
    <w:multiLevelType w:val="hybridMultilevel"/>
    <w:tmpl w:val="3E6AD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551454"/>
    <w:multiLevelType w:val="hybridMultilevel"/>
    <w:tmpl w:val="7528140E"/>
    <w:lvl w:ilvl="0" w:tplc="8AF2F3E0">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195E7A"/>
    <w:multiLevelType w:val="hybridMultilevel"/>
    <w:tmpl w:val="4D8077AA"/>
    <w:lvl w:ilvl="0" w:tplc="8AF2F3E0">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0C16D45"/>
    <w:multiLevelType w:val="hybridMultilevel"/>
    <w:tmpl w:val="A17E0B50"/>
    <w:lvl w:ilvl="0" w:tplc="8AF2F3E0">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F80A29"/>
    <w:multiLevelType w:val="hybridMultilevel"/>
    <w:tmpl w:val="F4B8C298"/>
    <w:lvl w:ilvl="0" w:tplc="4C3CFBB6">
      <w:start w:val="2"/>
      <w:numFmt w:val="bullet"/>
      <w:lvlText w:val="-"/>
      <w:lvlJc w:val="left"/>
      <w:pPr>
        <w:ind w:left="720" w:hanging="360"/>
      </w:pPr>
      <w:rPr>
        <w:rFonts w:ascii="ArialMT" w:eastAsia="Times New Roman" w:hAnsi="ArialMT"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AD3251"/>
    <w:multiLevelType w:val="hybridMultilevel"/>
    <w:tmpl w:val="FF74B51E"/>
    <w:lvl w:ilvl="0" w:tplc="4C3CFBB6">
      <w:start w:val="2"/>
      <w:numFmt w:val="bullet"/>
      <w:lvlText w:val="-"/>
      <w:lvlJc w:val="left"/>
      <w:pPr>
        <w:ind w:left="720" w:hanging="360"/>
      </w:pPr>
      <w:rPr>
        <w:rFonts w:ascii="ArialMT" w:eastAsia="Times New Roman" w:hAnsi="ArialMT"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5004D0"/>
    <w:multiLevelType w:val="hybridMultilevel"/>
    <w:tmpl w:val="A2C6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0E5783"/>
    <w:multiLevelType w:val="hybridMultilevel"/>
    <w:tmpl w:val="FE02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030734"/>
    <w:multiLevelType w:val="hybridMultilevel"/>
    <w:tmpl w:val="32E8359C"/>
    <w:lvl w:ilvl="0" w:tplc="8AF2F3E0">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E47A50"/>
    <w:multiLevelType w:val="hybridMultilevel"/>
    <w:tmpl w:val="2DB4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332CC4"/>
    <w:multiLevelType w:val="hybridMultilevel"/>
    <w:tmpl w:val="0D1C401C"/>
    <w:lvl w:ilvl="0" w:tplc="4C3CFBB6">
      <w:start w:val="2"/>
      <w:numFmt w:val="bullet"/>
      <w:lvlText w:val="-"/>
      <w:lvlJc w:val="left"/>
      <w:pPr>
        <w:ind w:left="720" w:hanging="360"/>
      </w:pPr>
      <w:rPr>
        <w:rFonts w:ascii="ArialMT" w:eastAsia="Times New Roman" w:hAnsi="ArialMT"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29"/>
  </w:num>
  <w:num w:numId="5">
    <w:abstractNumId w:val="11"/>
  </w:num>
  <w:num w:numId="6">
    <w:abstractNumId w:val="14"/>
  </w:num>
  <w:num w:numId="7">
    <w:abstractNumId w:val="21"/>
  </w:num>
  <w:num w:numId="8">
    <w:abstractNumId w:val="0"/>
  </w:num>
  <w:num w:numId="9">
    <w:abstractNumId w:val="30"/>
  </w:num>
  <w:num w:numId="10">
    <w:abstractNumId w:val="13"/>
  </w:num>
  <w:num w:numId="11">
    <w:abstractNumId w:val="26"/>
  </w:num>
  <w:num w:numId="12">
    <w:abstractNumId w:val="9"/>
  </w:num>
  <w:num w:numId="13">
    <w:abstractNumId w:val="23"/>
  </w:num>
  <w:num w:numId="14">
    <w:abstractNumId w:val="22"/>
  </w:num>
  <w:num w:numId="15">
    <w:abstractNumId w:val="27"/>
  </w:num>
  <w:num w:numId="16">
    <w:abstractNumId w:val="20"/>
  </w:num>
  <w:num w:numId="17">
    <w:abstractNumId w:val="28"/>
  </w:num>
  <w:num w:numId="18">
    <w:abstractNumId w:val="31"/>
  </w:num>
  <w:num w:numId="19">
    <w:abstractNumId w:val="24"/>
  </w:num>
  <w:num w:numId="20">
    <w:abstractNumId w:val="15"/>
  </w:num>
  <w:num w:numId="21">
    <w:abstractNumId w:val="7"/>
  </w:num>
  <w:num w:numId="22">
    <w:abstractNumId w:val="18"/>
  </w:num>
  <w:num w:numId="23">
    <w:abstractNumId w:val="17"/>
  </w:num>
  <w:num w:numId="24">
    <w:abstractNumId w:val="25"/>
  </w:num>
  <w:num w:numId="25">
    <w:abstractNumId w:val="5"/>
  </w:num>
  <w:num w:numId="26">
    <w:abstractNumId w:val="19"/>
  </w:num>
  <w:num w:numId="27">
    <w:abstractNumId w:val="10"/>
  </w:num>
  <w:num w:numId="28">
    <w:abstractNumId w:val="16"/>
  </w:num>
  <w:num w:numId="29">
    <w:abstractNumId w:val="3"/>
  </w:num>
  <w:num w:numId="30">
    <w:abstractNumId w:val="33"/>
  </w:num>
  <w:num w:numId="31">
    <w:abstractNumId w:val="32"/>
  </w:num>
  <w:num w:numId="32">
    <w:abstractNumId w:val="12"/>
  </w:num>
  <w:num w:numId="33">
    <w:abstractNumId w:val="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01"/>
    <w:rsid w:val="000116C0"/>
    <w:rsid w:val="000120ED"/>
    <w:rsid w:val="0001460F"/>
    <w:rsid w:val="0002023F"/>
    <w:rsid w:val="00033155"/>
    <w:rsid w:val="00034B8B"/>
    <w:rsid w:val="00044C8D"/>
    <w:rsid w:val="00062535"/>
    <w:rsid w:val="000725BF"/>
    <w:rsid w:val="00074F67"/>
    <w:rsid w:val="0007620E"/>
    <w:rsid w:val="00080F04"/>
    <w:rsid w:val="00083DC4"/>
    <w:rsid w:val="00086558"/>
    <w:rsid w:val="000A2BE1"/>
    <w:rsid w:val="000A370A"/>
    <w:rsid w:val="000A7075"/>
    <w:rsid w:val="000A7785"/>
    <w:rsid w:val="000B5924"/>
    <w:rsid w:val="000B750E"/>
    <w:rsid w:val="000C0527"/>
    <w:rsid w:val="000D079A"/>
    <w:rsid w:val="000D2FBD"/>
    <w:rsid w:val="000D61E2"/>
    <w:rsid w:val="000F6F39"/>
    <w:rsid w:val="00107D92"/>
    <w:rsid w:val="00113E16"/>
    <w:rsid w:val="001217C3"/>
    <w:rsid w:val="00126155"/>
    <w:rsid w:val="00131F05"/>
    <w:rsid w:val="001431F2"/>
    <w:rsid w:val="00157B3D"/>
    <w:rsid w:val="001614F2"/>
    <w:rsid w:val="00164420"/>
    <w:rsid w:val="00171CD1"/>
    <w:rsid w:val="00172494"/>
    <w:rsid w:val="00176F3D"/>
    <w:rsid w:val="0018202C"/>
    <w:rsid w:val="001875E5"/>
    <w:rsid w:val="0019471C"/>
    <w:rsid w:val="001B49E5"/>
    <w:rsid w:val="001B59B4"/>
    <w:rsid w:val="001C2487"/>
    <w:rsid w:val="001C5D06"/>
    <w:rsid w:val="001E5F5A"/>
    <w:rsid w:val="001E658B"/>
    <w:rsid w:val="001F7448"/>
    <w:rsid w:val="002038B5"/>
    <w:rsid w:val="00205E46"/>
    <w:rsid w:val="002457DB"/>
    <w:rsid w:val="00250106"/>
    <w:rsid w:val="002546F8"/>
    <w:rsid w:val="00255AE8"/>
    <w:rsid w:val="0026786B"/>
    <w:rsid w:val="002858A7"/>
    <w:rsid w:val="0029039A"/>
    <w:rsid w:val="00295007"/>
    <w:rsid w:val="002A2AF8"/>
    <w:rsid w:val="002B5042"/>
    <w:rsid w:val="002B6D77"/>
    <w:rsid w:val="002D39B2"/>
    <w:rsid w:val="002E52E3"/>
    <w:rsid w:val="002F2936"/>
    <w:rsid w:val="0030082E"/>
    <w:rsid w:val="003100CB"/>
    <w:rsid w:val="003123A0"/>
    <w:rsid w:val="0031674A"/>
    <w:rsid w:val="00322BEB"/>
    <w:rsid w:val="003312A1"/>
    <w:rsid w:val="0034660B"/>
    <w:rsid w:val="003502CC"/>
    <w:rsid w:val="00356DCB"/>
    <w:rsid w:val="00357177"/>
    <w:rsid w:val="003630BA"/>
    <w:rsid w:val="00370BD0"/>
    <w:rsid w:val="00384ADD"/>
    <w:rsid w:val="00386EE4"/>
    <w:rsid w:val="0039012D"/>
    <w:rsid w:val="003B18FA"/>
    <w:rsid w:val="003B77A4"/>
    <w:rsid w:val="003C1B7F"/>
    <w:rsid w:val="003D19B5"/>
    <w:rsid w:val="003F1F70"/>
    <w:rsid w:val="003F4DDD"/>
    <w:rsid w:val="0040689E"/>
    <w:rsid w:val="00412A3F"/>
    <w:rsid w:val="00423069"/>
    <w:rsid w:val="00426200"/>
    <w:rsid w:val="00436911"/>
    <w:rsid w:val="0045275B"/>
    <w:rsid w:val="004544DF"/>
    <w:rsid w:val="00457405"/>
    <w:rsid w:val="0048506A"/>
    <w:rsid w:val="004878DE"/>
    <w:rsid w:val="004A26E9"/>
    <w:rsid w:val="004A37B6"/>
    <w:rsid w:val="004E5151"/>
    <w:rsid w:val="0050158D"/>
    <w:rsid w:val="0051420B"/>
    <w:rsid w:val="00522FE6"/>
    <w:rsid w:val="005560AF"/>
    <w:rsid w:val="00557AAC"/>
    <w:rsid w:val="00563156"/>
    <w:rsid w:val="0057085F"/>
    <w:rsid w:val="00576D45"/>
    <w:rsid w:val="005906BB"/>
    <w:rsid w:val="005942D2"/>
    <w:rsid w:val="005A3C32"/>
    <w:rsid w:val="005A5FEE"/>
    <w:rsid w:val="005A61FF"/>
    <w:rsid w:val="005B67C2"/>
    <w:rsid w:val="005C16A2"/>
    <w:rsid w:val="005C3F51"/>
    <w:rsid w:val="005C6DE3"/>
    <w:rsid w:val="005D028B"/>
    <w:rsid w:val="005E46B8"/>
    <w:rsid w:val="005F5EA5"/>
    <w:rsid w:val="006039CF"/>
    <w:rsid w:val="0060454A"/>
    <w:rsid w:val="00614D3E"/>
    <w:rsid w:val="006375EC"/>
    <w:rsid w:val="00637CC7"/>
    <w:rsid w:val="00647D5A"/>
    <w:rsid w:val="006565D5"/>
    <w:rsid w:val="00661D96"/>
    <w:rsid w:val="00663D60"/>
    <w:rsid w:val="00686950"/>
    <w:rsid w:val="0068728F"/>
    <w:rsid w:val="0068797D"/>
    <w:rsid w:val="00691B39"/>
    <w:rsid w:val="00695236"/>
    <w:rsid w:val="006B066F"/>
    <w:rsid w:val="006D3FA4"/>
    <w:rsid w:val="0070284C"/>
    <w:rsid w:val="00704023"/>
    <w:rsid w:val="00713518"/>
    <w:rsid w:val="007139CA"/>
    <w:rsid w:val="007177CB"/>
    <w:rsid w:val="00746470"/>
    <w:rsid w:val="00747839"/>
    <w:rsid w:val="00753BE0"/>
    <w:rsid w:val="00771D5D"/>
    <w:rsid w:val="0077305A"/>
    <w:rsid w:val="007A53D0"/>
    <w:rsid w:val="007A787B"/>
    <w:rsid w:val="007B1337"/>
    <w:rsid w:val="007B14B6"/>
    <w:rsid w:val="007B4D9E"/>
    <w:rsid w:val="007C4942"/>
    <w:rsid w:val="007C56A7"/>
    <w:rsid w:val="007D03AF"/>
    <w:rsid w:val="007E1B33"/>
    <w:rsid w:val="007E1EB5"/>
    <w:rsid w:val="007F1740"/>
    <w:rsid w:val="007F19D7"/>
    <w:rsid w:val="0082633B"/>
    <w:rsid w:val="008264BE"/>
    <w:rsid w:val="008408CF"/>
    <w:rsid w:val="00852D7C"/>
    <w:rsid w:val="00855F49"/>
    <w:rsid w:val="00873A35"/>
    <w:rsid w:val="008760D6"/>
    <w:rsid w:val="008823DB"/>
    <w:rsid w:val="00886DE6"/>
    <w:rsid w:val="00890CB6"/>
    <w:rsid w:val="008943E1"/>
    <w:rsid w:val="008A3DAF"/>
    <w:rsid w:val="008B00A8"/>
    <w:rsid w:val="008D627B"/>
    <w:rsid w:val="009171B3"/>
    <w:rsid w:val="009234D7"/>
    <w:rsid w:val="00926CC4"/>
    <w:rsid w:val="00944B05"/>
    <w:rsid w:val="00956BB9"/>
    <w:rsid w:val="0096213A"/>
    <w:rsid w:val="00972CAE"/>
    <w:rsid w:val="00977E01"/>
    <w:rsid w:val="0098622F"/>
    <w:rsid w:val="0099498F"/>
    <w:rsid w:val="00996399"/>
    <w:rsid w:val="009A121B"/>
    <w:rsid w:val="009B4442"/>
    <w:rsid w:val="009C003D"/>
    <w:rsid w:val="009C0DA9"/>
    <w:rsid w:val="009C1945"/>
    <w:rsid w:val="009C69EB"/>
    <w:rsid w:val="009C78DD"/>
    <w:rsid w:val="009D6FC1"/>
    <w:rsid w:val="009E18D9"/>
    <w:rsid w:val="009E3C54"/>
    <w:rsid w:val="009E70C1"/>
    <w:rsid w:val="00A010E6"/>
    <w:rsid w:val="00A055CE"/>
    <w:rsid w:val="00A135B8"/>
    <w:rsid w:val="00A155D0"/>
    <w:rsid w:val="00A17915"/>
    <w:rsid w:val="00A213FA"/>
    <w:rsid w:val="00A248D7"/>
    <w:rsid w:val="00A34F63"/>
    <w:rsid w:val="00A42950"/>
    <w:rsid w:val="00A5067E"/>
    <w:rsid w:val="00A51D93"/>
    <w:rsid w:val="00A859BC"/>
    <w:rsid w:val="00AB7226"/>
    <w:rsid w:val="00AD4673"/>
    <w:rsid w:val="00AE66E5"/>
    <w:rsid w:val="00AF6CFA"/>
    <w:rsid w:val="00AF7911"/>
    <w:rsid w:val="00B00F33"/>
    <w:rsid w:val="00B02720"/>
    <w:rsid w:val="00B06DD0"/>
    <w:rsid w:val="00B13B3C"/>
    <w:rsid w:val="00B20366"/>
    <w:rsid w:val="00B3267B"/>
    <w:rsid w:val="00B33B55"/>
    <w:rsid w:val="00B377B6"/>
    <w:rsid w:val="00B40854"/>
    <w:rsid w:val="00B4745B"/>
    <w:rsid w:val="00B61A40"/>
    <w:rsid w:val="00B74C2D"/>
    <w:rsid w:val="00B80834"/>
    <w:rsid w:val="00B838D1"/>
    <w:rsid w:val="00B86F57"/>
    <w:rsid w:val="00BA7171"/>
    <w:rsid w:val="00BB2BEF"/>
    <w:rsid w:val="00BD7E90"/>
    <w:rsid w:val="00BE3592"/>
    <w:rsid w:val="00BE4DC8"/>
    <w:rsid w:val="00C20C99"/>
    <w:rsid w:val="00C26590"/>
    <w:rsid w:val="00C3168A"/>
    <w:rsid w:val="00C36BBB"/>
    <w:rsid w:val="00C37B29"/>
    <w:rsid w:val="00C452D7"/>
    <w:rsid w:val="00C53282"/>
    <w:rsid w:val="00C54D7B"/>
    <w:rsid w:val="00C57C6A"/>
    <w:rsid w:val="00C64096"/>
    <w:rsid w:val="00C71E0F"/>
    <w:rsid w:val="00C855C6"/>
    <w:rsid w:val="00C9451A"/>
    <w:rsid w:val="00CB744A"/>
    <w:rsid w:val="00CD5FCD"/>
    <w:rsid w:val="00CD6FAF"/>
    <w:rsid w:val="00CF0C82"/>
    <w:rsid w:val="00CF12E2"/>
    <w:rsid w:val="00CF3E28"/>
    <w:rsid w:val="00CF689A"/>
    <w:rsid w:val="00D00840"/>
    <w:rsid w:val="00D04EA4"/>
    <w:rsid w:val="00D0587D"/>
    <w:rsid w:val="00D302F1"/>
    <w:rsid w:val="00D32D23"/>
    <w:rsid w:val="00D40809"/>
    <w:rsid w:val="00D410DC"/>
    <w:rsid w:val="00D413D9"/>
    <w:rsid w:val="00D424E4"/>
    <w:rsid w:val="00D462C2"/>
    <w:rsid w:val="00D463BE"/>
    <w:rsid w:val="00D53A80"/>
    <w:rsid w:val="00D630E8"/>
    <w:rsid w:val="00D6743C"/>
    <w:rsid w:val="00D71653"/>
    <w:rsid w:val="00D87A2D"/>
    <w:rsid w:val="00D90218"/>
    <w:rsid w:val="00DA1699"/>
    <w:rsid w:val="00DB0FCC"/>
    <w:rsid w:val="00DB4418"/>
    <w:rsid w:val="00DD570C"/>
    <w:rsid w:val="00DF4B31"/>
    <w:rsid w:val="00E07804"/>
    <w:rsid w:val="00E1366E"/>
    <w:rsid w:val="00E20A53"/>
    <w:rsid w:val="00E266F1"/>
    <w:rsid w:val="00E37897"/>
    <w:rsid w:val="00E56010"/>
    <w:rsid w:val="00E630AA"/>
    <w:rsid w:val="00E8040F"/>
    <w:rsid w:val="00E84509"/>
    <w:rsid w:val="00E91D40"/>
    <w:rsid w:val="00E957AE"/>
    <w:rsid w:val="00E95BB3"/>
    <w:rsid w:val="00E97F2C"/>
    <w:rsid w:val="00EA2D89"/>
    <w:rsid w:val="00EA3FB3"/>
    <w:rsid w:val="00EB0D45"/>
    <w:rsid w:val="00ED6484"/>
    <w:rsid w:val="00EE0316"/>
    <w:rsid w:val="00EF3DE5"/>
    <w:rsid w:val="00F07A58"/>
    <w:rsid w:val="00F17855"/>
    <w:rsid w:val="00F2223A"/>
    <w:rsid w:val="00F22871"/>
    <w:rsid w:val="00F229C3"/>
    <w:rsid w:val="00F332BE"/>
    <w:rsid w:val="00F513D8"/>
    <w:rsid w:val="00F60ECD"/>
    <w:rsid w:val="00F71931"/>
    <w:rsid w:val="00F73622"/>
    <w:rsid w:val="00F736E5"/>
    <w:rsid w:val="00F81DF4"/>
    <w:rsid w:val="00F85013"/>
    <w:rsid w:val="00F95AA0"/>
    <w:rsid w:val="00F977DF"/>
    <w:rsid w:val="00FB60B5"/>
    <w:rsid w:val="00FC07C6"/>
    <w:rsid w:val="00FC6A59"/>
    <w:rsid w:val="00FD4D89"/>
    <w:rsid w:val="00FE73CE"/>
    <w:rsid w:val="00FF1237"/>
    <w:rsid w:val="00FF3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9EF06"/>
  <w15:chartTrackingRefBased/>
  <w15:docId w15:val="{890B3204-44D0-C24D-8F97-36D57AB3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E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E01"/>
    <w:pPr>
      <w:ind w:left="720"/>
      <w:contextualSpacing/>
    </w:pPr>
  </w:style>
  <w:style w:type="paragraph" w:styleId="NormalWeb">
    <w:name w:val="Normal (Web)"/>
    <w:basedOn w:val="Normal"/>
    <w:uiPriority w:val="99"/>
    <w:semiHidden/>
    <w:unhideWhenUsed/>
    <w:rsid w:val="00977E01"/>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8760D6"/>
    <w:pPr>
      <w:tabs>
        <w:tab w:val="center" w:pos="4680"/>
        <w:tab w:val="right" w:pos="9360"/>
      </w:tabs>
    </w:pPr>
  </w:style>
  <w:style w:type="character" w:customStyle="1" w:styleId="FooterChar">
    <w:name w:val="Footer Char"/>
    <w:basedOn w:val="DefaultParagraphFont"/>
    <w:link w:val="Footer"/>
    <w:uiPriority w:val="99"/>
    <w:rsid w:val="008760D6"/>
  </w:style>
  <w:style w:type="character" w:styleId="PageNumber">
    <w:name w:val="page number"/>
    <w:basedOn w:val="DefaultParagraphFont"/>
    <w:uiPriority w:val="99"/>
    <w:semiHidden/>
    <w:unhideWhenUsed/>
    <w:rsid w:val="008760D6"/>
  </w:style>
  <w:style w:type="character" w:styleId="Hyperlink">
    <w:name w:val="Hyperlink"/>
    <w:basedOn w:val="DefaultParagraphFont"/>
    <w:uiPriority w:val="99"/>
    <w:unhideWhenUsed/>
    <w:rsid w:val="00B13B3C"/>
    <w:rPr>
      <w:color w:val="0563C1" w:themeColor="hyperlink"/>
      <w:u w:val="single"/>
    </w:rPr>
  </w:style>
  <w:style w:type="character" w:customStyle="1" w:styleId="UnresolvedMention1">
    <w:name w:val="Unresolved Mention1"/>
    <w:basedOn w:val="DefaultParagraphFont"/>
    <w:uiPriority w:val="99"/>
    <w:rsid w:val="00B13B3C"/>
    <w:rPr>
      <w:color w:val="605E5C"/>
      <w:shd w:val="clear" w:color="auto" w:fill="E1DFDD"/>
    </w:rPr>
  </w:style>
  <w:style w:type="character" w:styleId="CommentReference">
    <w:name w:val="annotation reference"/>
    <w:basedOn w:val="DefaultParagraphFont"/>
    <w:uiPriority w:val="99"/>
    <w:semiHidden/>
    <w:unhideWhenUsed/>
    <w:rsid w:val="0099498F"/>
    <w:rPr>
      <w:sz w:val="16"/>
      <w:szCs w:val="16"/>
    </w:rPr>
  </w:style>
  <w:style w:type="paragraph" w:styleId="CommentText">
    <w:name w:val="annotation text"/>
    <w:basedOn w:val="Normal"/>
    <w:link w:val="CommentTextChar"/>
    <w:uiPriority w:val="99"/>
    <w:semiHidden/>
    <w:unhideWhenUsed/>
    <w:rsid w:val="0099498F"/>
    <w:rPr>
      <w:sz w:val="20"/>
      <w:szCs w:val="20"/>
    </w:rPr>
  </w:style>
  <w:style w:type="character" w:customStyle="1" w:styleId="CommentTextChar">
    <w:name w:val="Comment Text Char"/>
    <w:basedOn w:val="DefaultParagraphFont"/>
    <w:link w:val="CommentText"/>
    <w:uiPriority w:val="99"/>
    <w:semiHidden/>
    <w:rsid w:val="0099498F"/>
    <w:rPr>
      <w:sz w:val="20"/>
      <w:szCs w:val="20"/>
    </w:rPr>
  </w:style>
  <w:style w:type="paragraph" w:styleId="CommentSubject">
    <w:name w:val="annotation subject"/>
    <w:basedOn w:val="CommentText"/>
    <w:next w:val="CommentText"/>
    <w:link w:val="CommentSubjectChar"/>
    <w:uiPriority w:val="99"/>
    <w:semiHidden/>
    <w:unhideWhenUsed/>
    <w:rsid w:val="0099498F"/>
    <w:rPr>
      <w:b/>
      <w:bCs/>
    </w:rPr>
  </w:style>
  <w:style w:type="character" w:customStyle="1" w:styleId="CommentSubjectChar">
    <w:name w:val="Comment Subject Char"/>
    <w:basedOn w:val="CommentTextChar"/>
    <w:link w:val="CommentSubject"/>
    <w:uiPriority w:val="99"/>
    <w:semiHidden/>
    <w:rsid w:val="0099498F"/>
    <w:rPr>
      <w:b/>
      <w:bCs/>
      <w:sz w:val="20"/>
      <w:szCs w:val="20"/>
    </w:rPr>
  </w:style>
  <w:style w:type="paragraph" w:styleId="BalloonText">
    <w:name w:val="Balloon Text"/>
    <w:basedOn w:val="Normal"/>
    <w:link w:val="BalloonTextChar"/>
    <w:uiPriority w:val="99"/>
    <w:semiHidden/>
    <w:unhideWhenUsed/>
    <w:rsid w:val="009949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498F"/>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7B14B6"/>
    <w:rPr>
      <w:color w:val="954F72" w:themeColor="followedHyperlink"/>
      <w:u w:val="single"/>
    </w:rPr>
  </w:style>
  <w:style w:type="paragraph" w:styleId="FootnoteText">
    <w:name w:val="footnote text"/>
    <w:basedOn w:val="Normal"/>
    <w:link w:val="FootnoteTextChar"/>
    <w:uiPriority w:val="99"/>
    <w:semiHidden/>
    <w:unhideWhenUsed/>
    <w:rsid w:val="00033155"/>
    <w:rPr>
      <w:sz w:val="20"/>
      <w:szCs w:val="20"/>
    </w:rPr>
  </w:style>
  <w:style w:type="character" w:customStyle="1" w:styleId="FootnoteTextChar">
    <w:name w:val="Footnote Text Char"/>
    <w:basedOn w:val="DefaultParagraphFont"/>
    <w:link w:val="FootnoteText"/>
    <w:uiPriority w:val="99"/>
    <w:semiHidden/>
    <w:rsid w:val="00033155"/>
    <w:rPr>
      <w:sz w:val="20"/>
      <w:szCs w:val="20"/>
    </w:rPr>
  </w:style>
  <w:style w:type="character" w:styleId="FootnoteReference">
    <w:name w:val="footnote reference"/>
    <w:basedOn w:val="DefaultParagraphFont"/>
    <w:uiPriority w:val="99"/>
    <w:semiHidden/>
    <w:unhideWhenUsed/>
    <w:rsid w:val="00033155"/>
    <w:rPr>
      <w:vertAlign w:val="superscript"/>
    </w:rPr>
  </w:style>
  <w:style w:type="paragraph" w:styleId="Header">
    <w:name w:val="header"/>
    <w:basedOn w:val="Normal"/>
    <w:link w:val="HeaderChar"/>
    <w:uiPriority w:val="99"/>
    <w:unhideWhenUsed/>
    <w:rsid w:val="00370BD0"/>
    <w:pPr>
      <w:tabs>
        <w:tab w:val="center" w:pos="4680"/>
        <w:tab w:val="right" w:pos="9360"/>
      </w:tabs>
    </w:pPr>
  </w:style>
  <w:style w:type="character" w:customStyle="1" w:styleId="HeaderChar">
    <w:name w:val="Header Char"/>
    <w:basedOn w:val="DefaultParagraphFont"/>
    <w:link w:val="Header"/>
    <w:uiPriority w:val="99"/>
    <w:rsid w:val="00370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339387">
      <w:bodyDiv w:val="1"/>
      <w:marLeft w:val="0"/>
      <w:marRight w:val="0"/>
      <w:marTop w:val="0"/>
      <w:marBottom w:val="0"/>
      <w:divBdr>
        <w:top w:val="none" w:sz="0" w:space="0" w:color="auto"/>
        <w:left w:val="none" w:sz="0" w:space="0" w:color="auto"/>
        <w:bottom w:val="none" w:sz="0" w:space="0" w:color="auto"/>
        <w:right w:val="none" w:sz="0" w:space="0" w:color="auto"/>
      </w:divBdr>
    </w:div>
    <w:div w:id="340010312">
      <w:bodyDiv w:val="1"/>
      <w:marLeft w:val="0"/>
      <w:marRight w:val="0"/>
      <w:marTop w:val="0"/>
      <w:marBottom w:val="0"/>
      <w:divBdr>
        <w:top w:val="none" w:sz="0" w:space="0" w:color="auto"/>
        <w:left w:val="none" w:sz="0" w:space="0" w:color="auto"/>
        <w:bottom w:val="none" w:sz="0" w:space="0" w:color="auto"/>
        <w:right w:val="none" w:sz="0" w:space="0" w:color="auto"/>
      </w:divBdr>
    </w:div>
    <w:div w:id="680469842">
      <w:bodyDiv w:val="1"/>
      <w:marLeft w:val="0"/>
      <w:marRight w:val="0"/>
      <w:marTop w:val="0"/>
      <w:marBottom w:val="0"/>
      <w:divBdr>
        <w:top w:val="none" w:sz="0" w:space="0" w:color="auto"/>
        <w:left w:val="none" w:sz="0" w:space="0" w:color="auto"/>
        <w:bottom w:val="none" w:sz="0" w:space="0" w:color="auto"/>
        <w:right w:val="none" w:sz="0" w:space="0" w:color="auto"/>
      </w:divBdr>
    </w:div>
    <w:div w:id="788821854">
      <w:bodyDiv w:val="1"/>
      <w:marLeft w:val="0"/>
      <w:marRight w:val="0"/>
      <w:marTop w:val="0"/>
      <w:marBottom w:val="0"/>
      <w:divBdr>
        <w:top w:val="none" w:sz="0" w:space="0" w:color="auto"/>
        <w:left w:val="none" w:sz="0" w:space="0" w:color="auto"/>
        <w:bottom w:val="none" w:sz="0" w:space="0" w:color="auto"/>
        <w:right w:val="none" w:sz="0" w:space="0" w:color="auto"/>
      </w:divBdr>
    </w:div>
    <w:div w:id="1533108830">
      <w:bodyDiv w:val="1"/>
      <w:marLeft w:val="0"/>
      <w:marRight w:val="0"/>
      <w:marTop w:val="0"/>
      <w:marBottom w:val="0"/>
      <w:divBdr>
        <w:top w:val="none" w:sz="0" w:space="0" w:color="auto"/>
        <w:left w:val="none" w:sz="0" w:space="0" w:color="auto"/>
        <w:bottom w:val="none" w:sz="0" w:space="0" w:color="auto"/>
        <w:right w:val="none" w:sz="0" w:space="0" w:color="auto"/>
      </w:divBdr>
    </w:div>
    <w:div w:id="1803185163">
      <w:bodyDiv w:val="1"/>
      <w:marLeft w:val="0"/>
      <w:marRight w:val="0"/>
      <w:marTop w:val="0"/>
      <w:marBottom w:val="0"/>
      <w:divBdr>
        <w:top w:val="none" w:sz="0" w:space="0" w:color="auto"/>
        <w:left w:val="none" w:sz="0" w:space="0" w:color="auto"/>
        <w:bottom w:val="none" w:sz="0" w:space="0" w:color="auto"/>
        <w:right w:val="none" w:sz="0" w:space="0" w:color="auto"/>
      </w:divBdr>
    </w:div>
    <w:div w:id="1837454414">
      <w:bodyDiv w:val="1"/>
      <w:marLeft w:val="0"/>
      <w:marRight w:val="0"/>
      <w:marTop w:val="0"/>
      <w:marBottom w:val="0"/>
      <w:divBdr>
        <w:top w:val="none" w:sz="0" w:space="0" w:color="auto"/>
        <w:left w:val="none" w:sz="0" w:space="0" w:color="auto"/>
        <w:bottom w:val="none" w:sz="0" w:space="0" w:color="auto"/>
        <w:right w:val="none" w:sz="0" w:space="0" w:color="auto"/>
      </w:divBdr>
    </w:div>
    <w:div w:id="193169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ing.ca.gov/docs/MSSP/SiteManual/Appendices/Ap%2026%20Licensure%20and%20Certification%20-%20Provider%20Qualification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ging.ca.gov/docs/MSSP/SiteManual/2016/Chapter_3.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F3359-0B4F-4AEC-A5D5-8E14A1B5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Pagel</dc:creator>
  <cp:keywords/>
  <dc:description/>
  <cp:lastModifiedBy>Lilly Clements</cp:lastModifiedBy>
  <cp:revision>2</cp:revision>
  <cp:lastPrinted>2018-07-05T20:36:00Z</cp:lastPrinted>
  <dcterms:created xsi:type="dcterms:W3CDTF">2019-01-05T00:54:00Z</dcterms:created>
  <dcterms:modified xsi:type="dcterms:W3CDTF">2019-01-05T00:54:00Z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